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其他重点事项补充说明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黑体" w:hAnsi="黑体" w:eastAsia="黑体" w:cs="黑体"/>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一、转移支付情况说明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长安</w:t>
      </w:r>
      <w:r>
        <w:rPr>
          <w:rFonts w:hint="eastAsia" w:ascii="仿宋_GB2312" w:hAnsi="仿宋_GB2312" w:eastAsia="仿宋_GB2312" w:cs="仿宋_GB2312"/>
          <w:sz w:val="32"/>
          <w:szCs w:val="32"/>
        </w:rPr>
        <w:t>区仅涉及上级转移支付，不涉及对下转移支付。2021年，</w:t>
      </w:r>
      <w:r>
        <w:rPr>
          <w:rFonts w:hint="eastAsia" w:ascii="仿宋_GB2312" w:hAnsi="仿宋_GB2312" w:eastAsia="仿宋_GB2312" w:cs="仿宋_GB2312"/>
          <w:sz w:val="32"/>
          <w:szCs w:val="32"/>
          <w:lang w:eastAsia="zh-CN"/>
        </w:rPr>
        <w:t>长安区</w:t>
      </w:r>
      <w:r>
        <w:rPr>
          <w:rFonts w:hint="eastAsia" w:ascii="仿宋_GB2312" w:hAnsi="仿宋_GB2312" w:eastAsia="仿宋_GB2312" w:cs="仿宋_GB2312"/>
          <w:sz w:val="32"/>
          <w:szCs w:val="32"/>
        </w:rPr>
        <w:t>共收到市级提前下达的各类专项转移支付资金</w:t>
      </w:r>
      <w:r>
        <w:rPr>
          <w:rFonts w:hint="eastAsia" w:ascii="仿宋_GB2312" w:hAnsi="仿宋_GB2312" w:eastAsia="仿宋_GB2312" w:cs="仿宋_GB2312"/>
          <w:sz w:val="32"/>
          <w:szCs w:val="32"/>
          <w:lang w:val="en-US" w:eastAsia="zh-CN"/>
        </w:rPr>
        <w:t>55375</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一般公共预算</w:t>
      </w:r>
      <w:r>
        <w:rPr>
          <w:rFonts w:hint="eastAsia" w:ascii="仿宋_GB2312" w:hAnsi="仿宋_GB2312" w:eastAsia="仿宋_GB2312" w:cs="仿宋_GB2312"/>
          <w:sz w:val="32"/>
          <w:szCs w:val="32"/>
          <w:lang w:eastAsia="zh-CN"/>
        </w:rPr>
        <w:t>一般性转移支付</w:t>
      </w:r>
      <w:r>
        <w:rPr>
          <w:rFonts w:hint="eastAsia" w:ascii="仿宋_GB2312" w:hAnsi="仿宋_GB2312" w:eastAsia="仿宋_GB2312" w:cs="仿宋_GB2312"/>
          <w:sz w:val="32"/>
          <w:szCs w:val="32"/>
          <w:lang w:val="en-US" w:eastAsia="zh-CN"/>
        </w:rPr>
        <w:t>11258万元、</w:t>
      </w:r>
      <w:r>
        <w:rPr>
          <w:rFonts w:hint="eastAsia" w:ascii="仿宋_GB2312" w:hAnsi="仿宋_GB2312" w:eastAsia="仿宋_GB2312" w:cs="仿宋_GB2312"/>
          <w:sz w:val="32"/>
          <w:szCs w:val="32"/>
        </w:rPr>
        <w:t>专项转移支付</w:t>
      </w:r>
      <w:r>
        <w:rPr>
          <w:rFonts w:hint="eastAsia" w:ascii="仿宋_GB2312" w:hAnsi="仿宋_GB2312" w:eastAsia="仿宋_GB2312" w:cs="仿宋_GB2312"/>
          <w:sz w:val="32"/>
          <w:szCs w:val="32"/>
          <w:lang w:val="en-US" w:eastAsia="zh-CN"/>
        </w:rPr>
        <w:t>43386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政府性基金预算专项转移支付</w:t>
      </w:r>
      <w:r>
        <w:rPr>
          <w:rFonts w:hint="eastAsia" w:ascii="仿宋_GB2312" w:hAnsi="仿宋_GB2312" w:eastAsia="仿宋_GB2312" w:cs="仿宋_GB2312"/>
          <w:sz w:val="32"/>
          <w:szCs w:val="32"/>
          <w:lang w:val="en-US" w:eastAsia="zh-CN"/>
        </w:rPr>
        <w:t>705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国有资本经营预算专项转移支付</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一般公共预算转移支付主要安排用于以下方面：公共安全支出1</w:t>
      </w:r>
      <w:r>
        <w:rPr>
          <w:rFonts w:hint="eastAsia" w:ascii="仿宋_GB2312" w:hAnsi="仿宋_GB2312" w:eastAsia="仿宋_GB2312" w:cs="仿宋_GB2312"/>
          <w:sz w:val="32"/>
          <w:szCs w:val="32"/>
          <w:lang w:val="en-US" w:eastAsia="zh-CN"/>
        </w:rPr>
        <w:t>360</w:t>
      </w:r>
      <w:r>
        <w:rPr>
          <w:rFonts w:hint="eastAsia" w:ascii="仿宋_GB2312" w:hAnsi="仿宋_GB2312" w:eastAsia="仿宋_GB2312" w:cs="仿宋_GB2312"/>
          <w:sz w:val="32"/>
          <w:szCs w:val="32"/>
        </w:rPr>
        <w:t>万元，教育支出</w:t>
      </w:r>
      <w:r>
        <w:rPr>
          <w:rFonts w:hint="eastAsia" w:ascii="仿宋_GB2312" w:hAnsi="仿宋_GB2312" w:eastAsia="仿宋_GB2312" w:cs="仿宋_GB2312"/>
          <w:sz w:val="32"/>
          <w:szCs w:val="32"/>
          <w:lang w:val="en-US" w:eastAsia="zh-CN"/>
        </w:rPr>
        <w:t>18042</w:t>
      </w:r>
      <w:r>
        <w:rPr>
          <w:rFonts w:hint="eastAsia" w:ascii="仿宋_GB2312" w:hAnsi="仿宋_GB2312" w:eastAsia="仿宋_GB2312" w:cs="仿宋_GB2312"/>
          <w:sz w:val="32"/>
          <w:szCs w:val="32"/>
        </w:rPr>
        <w:t>万元，文化旅游体育与传媒</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万元，社会保障和就业支出</w:t>
      </w:r>
      <w:r>
        <w:rPr>
          <w:rFonts w:hint="eastAsia" w:ascii="仿宋_GB2312" w:hAnsi="仿宋_GB2312" w:eastAsia="仿宋_GB2312" w:cs="仿宋_GB2312"/>
          <w:sz w:val="32"/>
          <w:szCs w:val="32"/>
          <w:lang w:val="en-US" w:eastAsia="zh-CN"/>
        </w:rPr>
        <w:t>17230</w:t>
      </w:r>
      <w:r>
        <w:rPr>
          <w:rFonts w:hint="eastAsia" w:ascii="仿宋_GB2312" w:hAnsi="仿宋_GB2312" w:eastAsia="仿宋_GB2312" w:cs="仿宋_GB2312"/>
          <w:sz w:val="32"/>
          <w:szCs w:val="32"/>
        </w:rPr>
        <w:t>万元，卫生健康支出</w:t>
      </w:r>
      <w:r>
        <w:rPr>
          <w:rFonts w:hint="eastAsia" w:ascii="仿宋_GB2312" w:hAnsi="仿宋_GB2312" w:eastAsia="仿宋_GB2312" w:cs="仿宋_GB2312"/>
          <w:sz w:val="32"/>
          <w:szCs w:val="32"/>
          <w:lang w:val="en-US" w:eastAsia="zh-CN"/>
        </w:rPr>
        <w:t>2363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城乡社区支出</w:t>
      </w:r>
      <w:r>
        <w:rPr>
          <w:rFonts w:hint="eastAsia" w:ascii="仿宋_GB2312" w:hAnsi="仿宋_GB2312" w:eastAsia="仿宋_GB2312" w:cs="仿宋_GB2312"/>
          <w:sz w:val="32"/>
          <w:szCs w:val="32"/>
          <w:lang w:val="en-US" w:eastAsia="zh-CN"/>
        </w:rPr>
        <w:t>623万元，</w:t>
      </w:r>
      <w:r>
        <w:rPr>
          <w:rFonts w:hint="eastAsia" w:ascii="仿宋_GB2312" w:hAnsi="仿宋_GB2312" w:eastAsia="仿宋_GB2312" w:cs="仿宋_GB2312"/>
          <w:sz w:val="32"/>
          <w:szCs w:val="32"/>
        </w:rPr>
        <w:t>农林水支出</w:t>
      </w:r>
      <w:r>
        <w:rPr>
          <w:rFonts w:hint="eastAsia" w:ascii="仿宋_GB2312" w:hAnsi="仿宋_GB2312" w:eastAsia="仿宋_GB2312" w:cs="仿宋_GB2312"/>
          <w:sz w:val="32"/>
          <w:szCs w:val="32"/>
          <w:lang w:val="en-US" w:eastAsia="zh-CN"/>
        </w:rPr>
        <w:t>2959</w:t>
      </w:r>
      <w:r>
        <w:rPr>
          <w:rFonts w:hint="eastAsia" w:ascii="仿宋_GB2312" w:hAnsi="仿宋_GB2312" w:eastAsia="仿宋_GB2312" w:cs="仿宋_GB2312"/>
          <w:sz w:val="32"/>
          <w:szCs w:val="32"/>
        </w:rPr>
        <w:t>万元，住房保障支出8</w:t>
      </w:r>
      <w:r>
        <w:rPr>
          <w:rFonts w:hint="eastAsia" w:ascii="仿宋_GB2312" w:hAnsi="仿宋_GB2312" w:eastAsia="仿宋_GB2312" w:cs="仿宋_GB2312"/>
          <w:sz w:val="32"/>
          <w:szCs w:val="32"/>
          <w:lang w:val="en-US" w:eastAsia="zh-CN"/>
        </w:rPr>
        <w:t>802</w:t>
      </w:r>
      <w:r>
        <w:rPr>
          <w:rFonts w:hint="eastAsia" w:ascii="仿宋_GB2312" w:hAnsi="仿宋_GB2312" w:eastAsia="仿宋_GB2312" w:cs="仿宋_GB2312"/>
          <w:sz w:val="32"/>
          <w:szCs w:val="32"/>
        </w:rPr>
        <w:t>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政府性基金预算专项转移支付主要安排用于以下方面：大中型水库移民后期扶持基金支出</w:t>
      </w:r>
      <w:r>
        <w:rPr>
          <w:rFonts w:hint="eastAsia" w:ascii="仿宋_GB2312" w:hAnsi="仿宋_GB2312" w:eastAsia="仿宋_GB2312" w:cs="仿宋_GB2312"/>
          <w:sz w:val="32"/>
          <w:szCs w:val="32"/>
          <w:lang w:val="en-US" w:eastAsia="zh-CN"/>
        </w:rPr>
        <w:t>67</w:t>
      </w:r>
      <w:r>
        <w:rPr>
          <w:rFonts w:hint="eastAsia" w:ascii="仿宋_GB2312" w:hAnsi="仿宋_GB2312" w:eastAsia="仿宋_GB2312" w:cs="仿宋_GB2312"/>
          <w:sz w:val="32"/>
          <w:szCs w:val="32"/>
        </w:rPr>
        <w:t>万元，福利彩票销售机构的业务费支</w:t>
      </w:r>
      <w:r>
        <w:rPr>
          <w:rFonts w:hint="eastAsia" w:ascii="仿宋_GB2312" w:hAnsi="仿宋_GB2312" w:eastAsia="仿宋_GB2312" w:cs="仿宋_GB2312"/>
          <w:sz w:val="32"/>
          <w:szCs w:val="32"/>
          <w:lang w:val="en-US" w:eastAsia="zh-CN"/>
        </w:rPr>
        <w:t>99</w:t>
      </w:r>
      <w:r>
        <w:rPr>
          <w:rFonts w:hint="eastAsia" w:ascii="仿宋_GB2312" w:hAnsi="仿宋_GB2312" w:eastAsia="仿宋_GB2312" w:cs="仿宋_GB2312"/>
          <w:sz w:val="32"/>
          <w:szCs w:val="32"/>
        </w:rPr>
        <w:t>万元，社会福利的彩票公益金支出</w:t>
      </w:r>
      <w:r>
        <w:rPr>
          <w:rFonts w:hint="eastAsia" w:ascii="仿宋_GB2312" w:hAnsi="仿宋_GB2312" w:eastAsia="仿宋_GB2312" w:cs="仿宋_GB2312"/>
          <w:sz w:val="32"/>
          <w:szCs w:val="32"/>
          <w:lang w:val="en-US" w:eastAsia="zh-CN"/>
        </w:rPr>
        <w:t>480</w:t>
      </w:r>
      <w:r>
        <w:rPr>
          <w:rFonts w:hint="eastAsia" w:ascii="仿宋_GB2312" w:hAnsi="仿宋_GB2312" w:eastAsia="仿宋_GB2312" w:cs="仿宋_GB2312"/>
          <w:sz w:val="32"/>
          <w:szCs w:val="32"/>
        </w:rPr>
        <w:t>万元，体育事业的彩票公益金支出</w:t>
      </w:r>
      <w:r>
        <w:rPr>
          <w:rFonts w:hint="eastAsia" w:ascii="仿宋_GB2312" w:hAnsi="仿宋_GB2312" w:eastAsia="仿宋_GB2312" w:cs="仿宋_GB2312"/>
          <w:sz w:val="32"/>
          <w:szCs w:val="32"/>
          <w:lang w:val="en-US" w:eastAsia="zh-CN"/>
        </w:rPr>
        <w:t>59</w:t>
      </w:r>
      <w:r>
        <w:rPr>
          <w:rFonts w:hint="eastAsia" w:ascii="仿宋_GB2312" w:hAnsi="仿宋_GB2312" w:eastAsia="仿宋_GB2312" w:cs="仿宋_GB2312"/>
          <w:sz w:val="32"/>
          <w:szCs w:val="32"/>
        </w:rPr>
        <w:t>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二、政府债务情况说明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区政府一般债务限额为</w:t>
      </w:r>
      <w:r>
        <w:rPr>
          <w:rFonts w:hint="eastAsia" w:ascii="仿宋_GB2312" w:hAnsi="仿宋_GB2312" w:eastAsia="仿宋_GB2312" w:cs="仿宋_GB2312"/>
          <w:sz w:val="32"/>
          <w:szCs w:val="32"/>
          <w:lang w:val="en-US" w:eastAsia="zh-CN"/>
        </w:rPr>
        <w:t>7.64</w:t>
      </w:r>
      <w:r>
        <w:rPr>
          <w:rFonts w:hint="eastAsia" w:ascii="仿宋_GB2312" w:hAnsi="仿宋_GB2312" w:eastAsia="仿宋_GB2312" w:cs="仿宋_GB2312"/>
          <w:sz w:val="32"/>
          <w:szCs w:val="32"/>
        </w:rPr>
        <w:t>亿元，专项债务限额为</w:t>
      </w:r>
      <w:r>
        <w:rPr>
          <w:rFonts w:hint="eastAsia" w:ascii="仿宋_GB2312" w:hAnsi="仿宋_GB2312" w:eastAsia="仿宋_GB2312" w:cs="仿宋_GB2312"/>
          <w:sz w:val="32"/>
          <w:szCs w:val="32"/>
          <w:lang w:val="en-US" w:eastAsia="zh-CN"/>
        </w:rPr>
        <w:t>15.65</w:t>
      </w:r>
      <w:r>
        <w:rPr>
          <w:rFonts w:hint="eastAsia" w:ascii="仿宋_GB2312" w:hAnsi="仿宋_GB2312" w:eastAsia="仿宋_GB2312" w:cs="仿宋_GB2312"/>
          <w:sz w:val="32"/>
          <w:szCs w:val="32"/>
        </w:rPr>
        <w:t>亿元。截止2020年12月31日，</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区一般债务余额为</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亿元，专项债务余额为</w:t>
      </w:r>
      <w:r>
        <w:rPr>
          <w:rFonts w:hint="eastAsia" w:ascii="仿宋_GB2312" w:hAnsi="仿宋_GB2312" w:eastAsia="仿宋_GB2312" w:cs="仿宋_GB2312"/>
          <w:sz w:val="32"/>
          <w:szCs w:val="32"/>
          <w:lang w:val="en-US" w:eastAsia="zh-CN"/>
        </w:rPr>
        <w:t>11.45</w:t>
      </w:r>
      <w:r>
        <w:rPr>
          <w:rFonts w:hint="eastAsia" w:ascii="仿宋_GB2312" w:hAnsi="仿宋_GB2312" w:eastAsia="仿宋_GB2312" w:cs="仿宋_GB2312"/>
          <w:sz w:val="32"/>
          <w:szCs w:val="32"/>
        </w:rPr>
        <w:t>亿元，未超过西安市财政局下达</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区的当年政府债务限额。</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三、预算绩效工作开展情况说明</w:t>
      </w:r>
      <w:bookmarkStart w:id="0" w:name="_GoBack"/>
      <w:bookmarkEnd w:id="0"/>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区实现全区77个部门绩效目标全覆盖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区将进一步强化资金监管，提高审核质量，梳理专项资金，开展专项检查，确保资金配置高效合理；全面实施预算绩效管理，贯彻“花钱必问效”理念，加强财政资金整合统筹，持续提升资金使用效益。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四、“三公”经费情况说明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区“三公”经费安排</w:t>
      </w:r>
      <w:r>
        <w:rPr>
          <w:rFonts w:hint="eastAsia" w:ascii="仿宋_GB2312" w:hAnsi="仿宋_GB2312" w:eastAsia="仿宋_GB2312" w:cs="仿宋_GB2312"/>
          <w:sz w:val="32"/>
          <w:szCs w:val="32"/>
          <w:lang w:val="en-US" w:eastAsia="zh-CN"/>
        </w:rPr>
        <w:t>413</w:t>
      </w:r>
      <w:r>
        <w:rPr>
          <w:rFonts w:hint="eastAsia" w:ascii="仿宋_GB2312" w:hAnsi="仿宋_GB2312" w:eastAsia="仿宋_GB2312" w:cs="仿宋_GB2312"/>
          <w:sz w:val="32"/>
          <w:szCs w:val="32"/>
        </w:rPr>
        <w:t>万元，较上年预算下降</w:t>
      </w:r>
      <w:r>
        <w:rPr>
          <w:rFonts w:hint="eastAsia" w:ascii="仿宋_GB2312" w:hAnsi="仿宋_GB2312" w:eastAsia="仿宋_GB2312" w:cs="仿宋_GB2312"/>
          <w:sz w:val="32"/>
          <w:szCs w:val="32"/>
          <w:lang w:val="en-US" w:eastAsia="zh-CN"/>
        </w:rPr>
        <w:t>157万元</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区严格落实“过紧日子”思想，厉行勤俭节约，压减“三公”经费规模。其中：因公出国（境）费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万元；公务接待费</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万元，较上年下降</w:t>
      </w:r>
      <w:r>
        <w:rPr>
          <w:rFonts w:hint="eastAsia" w:ascii="仿宋_GB2312" w:hAnsi="仿宋_GB2312" w:eastAsia="仿宋_GB2312" w:cs="仿宋_GB2312"/>
          <w:sz w:val="32"/>
          <w:szCs w:val="32"/>
          <w:lang w:val="en-US" w:eastAsia="zh-CN"/>
        </w:rPr>
        <w:t>176万元</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val="en-US" w:eastAsia="zh-CN"/>
        </w:rPr>
        <w:t>404</w:t>
      </w:r>
      <w:r>
        <w:rPr>
          <w:rFonts w:hint="eastAsia" w:ascii="仿宋_GB2312" w:hAnsi="仿宋_GB2312" w:eastAsia="仿宋_GB2312" w:cs="仿宋_GB2312"/>
          <w:sz w:val="32"/>
          <w:szCs w:val="32"/>
        </w:rPr>
        <w:t>万元，较上年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28万元，主要原因为新增公务用车</w:t>
      </w:r>
      <w:r>
        <w:rPr>
          <w:rFonts w:hint="eastAsia" w:ascii="仿宋_GB2312" w:hAnsi="仿宋_GB2312" w:eastAsia="仿宋_GB2312" w:cs="仿宋_GB2312"/>
          <w:sz w:val="32"/>
          <w:szCs w:val="32"/>
        </w:rPr>
        <w:t>；公务用车购置费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rPr>
        <w:t>五、公开空表说明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区为基层政府，一般公共预算、政府性基金预算和国有资本经营预算不涉及对下级转移支付，附表</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区2021年本级一般公共预算转移支付分区域预算表、附表</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区2021年本级政府性基金转移支付分区域预算表和附表</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区2021年本级国有资本经营预算转移支付分区域预算表为空表。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因2021年债务限额尚未确定，故附表</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区2021年一般债务限额和余额情况表、附表</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eastAsia="zh-CN"/>
        </w:rPr>
        <w:t>长安</w:t>
      </w:r>
      <w:r>
        <w:rPr>
          <w:rFonts w:hint="eastAsia" w:ascii="仿宋_GB2312" w:hAnsi="仿宋_GB2312" w:eastAsia="仿宋_GB2312" w:cs="仿宋_GB2312"/>
          <w:sz w:val="32"/>
          <w:szCs w:val="32"/>
        </w:rPr>
        <w:t>区2021年专项债务限额和余额情况表为空表。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六、扶贫资金安排情况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2021年长安区部门预算安排扶贫资金4766万元，主要用于扶贫机构运行196万元，大数据平台维护、印刷等50万元，扶贫区级配套资金4520万元。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黑体" w:hAnsi="黑体" w:eastAsia="黑体" w:cs="黑体"/>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、名词解释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（一）一般公共预算。一般公共预算是对以税收为主体的财政收入，安排用于保障和改善民生、推动经济社会发展、维护国家安全、维持国家机构正常运转等方面的收支预算。</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政府性基金预算。政府性基金预算是对依照法律、行政法规的规定在一定期限内向特定对象征收、收取或者以其他方式筹集的资金，专项用于特定公共事业发展的收支预算。政府性基金预算应当根据基金项目收入情况和实际支出需要，按基金项目编制，做到以收定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（三）国有资本经营预算。国有资本经营预算是对国有资本收益作出支出安排的收支预算。国有资本经营预算应当按照收支平衡的原则编制，不列赤字，并安排资金调入一般公共预算。</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（四）社会保险基金预算。社会保险基金预算是指社会保险缴款、一般公共预算安排和其他方式筹集的资金，专项用于社会保险的收支预算。</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转移支付。指上级政府按照有关法律法规、财政体制和政策规定，给予下级政府的补助资金，包括一般性转移支付和专项转移支付。其中，一般性转移支付指上级政府对有财力缺口的下级政府，按照规范的办法给予的补助，下级政府可以按照相关规定统筹安排和使用。专项转移支付指上级政府对承担委托事务、共同事务的下级政府，给予的具有指定用途的资金补助，以及对应由下级政府承担的事务，给予的具有指定用途的奖励或补助。</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预算稳定调节基金。指财政通过超收收入和支出预算结余安排的具有储备性质的基金，视预算平衡情况，在安排下年度预算时调入并安排使用，或用于弥补短收年份预算执行的收支缺口，基金的安排使用接受同级人大及其常委会的监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（七）政府采购。指各级国家机关、事业单位和团体组织，使用财政性资金采购依法制定的集中采购目录以内或采购限额标准以上的货物、工程和服务的行为。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购买服务。指通过发挥市场机制作用，把政府直接提供的一部分公共服务事项以及政府履职所需服务事项，按照一定的方式和程序，交由具备条件的社会力量承担，并由政府根据合同约定向其支付费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中期财政规划。指为实现跨年度预算平衡，根据中长期发展规划和宏观调控的需要，在确定中期财政政策基础上编制的多年度财政规划。对规划期内一些重点领域政策及所需动用的政府财力作出统筹安排，每年根据情况变化作相应调整更新。通过实行中期财政规划管理，强化其对年度预算的约束，有利于提高预算的统筹能力，增强财政政策的前瞻性和财政的可持续性。</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（十）“三公”经费。指因公出国（境）费、公务用车购置及运行维护费和公务接待费。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（十一）政府一般债券。指省、自治区、直辖市政府（含经省政府批准的自办债券发行的计划单列市政府）为没有收益的公益性项目发行的、约定一定期限内主要以一般公共预算收入还本付息的政府债券。</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政府专项债券。指省、自治区、直辖市政府（含经省政府批准的自办债券发行的计划单列市政府）为有一定收益的公益性项目发行的、约定一定期限内以公益性项目对应的政府性基金或专项收入还本付息的政府债券。</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1E2C86"/>
    <w:rsid w:val="20EE5E0D"/>
    <w:rsid w:val="3D7B0DF6"/>
    <w:rsid w:val="63683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Office_10.1.0.7671_F1E327BC-269C-435d-A152-05C5408002CA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2021-02-24T10:23:15Z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ies>
</file>