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8"/>
          <w:lang w:val="en-US" w:eastAsia="zh-CN"/>
        </w:rPr>
      </w:pPr>
      <w:r>
        <w:rPr>
          <w:rFonts w:hint="eastAsia" w:ascii="宋体" w:hAnsi="宋体" w:eastAsia="宋体" w:cs="宋体"/>
          <w:sz w:val="24"/>
          <w:szCs w:val="28"/>
          <w:lang w:eastAsia="zh-CN"/>
        </w:rPr>
        <w:t>附件</w:t>
      </w:r>
      <w:r>
        <w:rPr>
          <w:rFonts w:hint="eastAsia" w:ascii="宋体" w:hAnsi="宋体" w:eastAsia="宋体" w:cs="宋体"/>
          <w:sz w:val="24"/>
          <w:szCs w:val="28"/>
          <w:lang w:val="en-US" w:eastAsia="zh-CN"/>
        </w:rPr>
        <w:t>3</w:t>
      </w:r>
    </w:p>
    <w:p>
      <w:pPr>
        <w:jc w:val="center"/>
        <w:rPr>
          <w:rFonts w:hint="eastAsia" w:ascii="方正小标宋简体" w:hAnsi="黑体" w:eastAsia="方正小标宋简体" w:cs="黑体"/>
          <w:sz w:val="36"/>
          <w:szCs w:val="36"/>
        </w:rPr>
      </w:pPr>
      <w:r>
        <w:rPr>
          <w:rFonts w:hint="eastAsia" w:ascii="方正小标宋简体" w:hAnsi="黑体" w:eastAsia="方正小标宋简体" w:cs="黑体"/>
          <w:sz w:val="36"/>
          <w:szCs w:val="36"/>
        </w:rPr>
        <w:t>强制登报公告事项保留清单</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
        <w:gridCol w:w="1252"/>
        <w:gridCol w:w="6388"/>
        <w:gridCol w:w="661"/>
        <w:gridCol w:w="797"/>
        <w:gridCol w:w="577"/>
        <w:gridCol w:w="1123"/>
        <w:gridCol w:w="786"/>
        <w:gridCol w:w="1752"/>
        <w:gridCol w:w="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序号</w:t>
            </w:r>
          </w:p>
        </w:tc>
        <w:tc>
          <w:tcPr>
            <w:tcW w:w="1252"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强制登报公告事项名称</w:t>
            </w:r>
          </w:p>
        </w:tc>
        <w:tc>
          <w:tcPr>
            <w:tcW w:w="6388"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设定依据</w:t>
            </w:r>
          </w:p>
        </w:tc>
        <w:tc>
          <w:tcPr>
            <w:tcW w:w="661"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索要单位</w:t>
            </w:r>
          </w:p>
        </w:tc>
        <w:tc>
          <w:tcPr>
            <w:tcW w:w="797"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实施</w:t>
            </w:r>
          </w:p>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层级</w:t>
            </w:r>
          </w:p>
        </w:tc>
        <w:tc>
          <w:tcPr>
            <w:tcW w:w="577"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实施对象</w:t>
            </w:r>
          </w:p>
        </w:tc>
        <w:tc>
          <w:tcPr>
            <w:tcW w:w="1123"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公告媒体</w:t>
            </w:r>
          </w:p>
        </w:tc>
        <w:tc>
          <w:tcPr>
            <w:tcW w:w="786"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费用承担主体</w:t>
            </w:r>
          </w:p>
        </w:tc>
        <w:tc>
          <w:tcPr>
            <w:tcW w:w="1752"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保留原因</w:t>
            </w:r>
          </w:p>
        </w:tc>
        <w:tc>
          <w:tcPr>
            <w:tcW w:w="400" w:type="dxa"/>
            <w:noWrap w:val="0"/>
            <w:vAlign w:val="center"/>
          </w:tcPr>
          <w:p>
            <w:pPr>
              <w:adjustRightInd w:val="0"/>
              <w:snapToGrid w:val="0"/>
              <w:jc w:val="center"/>
              <w:rPr>
                <w:rFonts w:hint="eastAsia" w:ascii="黑体" w:hAnsi="黑体" w:eastAsia="黑体" w:cs="黑体"/>
                <w:sz w:val="18"/>
                <w:szCs w:val="18"/>
              </w:rPr>
            </w:pPr>
            <w:r>
              <w:rPr>
                <w:rFonts w:hint="eastAsia" w:ascii="黑体" w:hAnsi="黑体" w:eastAsia="黑体" w:cs="黑体"/>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widowControl/>
              <w:adjustRightInd w:val="0"/>
              <w:snapToGrid w:val="0"/>
              <w:jc w:val="center"/>
              <w:rPr>
                <w:rFonts w:hint="eastAsia" w:ascii="宋体" w:hAnsi="宋体" w:cs="宋体"/>
                <w:sz w:val="18"/>
                <w:szCs w:val="18"/>
              </w:rPr>
            </w:pPr>
            <w:r>
              <w:rPr>
                <w:rFonts w:hint="eastAsia" w:ascii="宋体" w:hAnsi="宋体" w:cs="宋体"/>
                <w:color w:val="000000"/>
                <w:kern w:val="0"/>
                <w:sz w:val="18"/>
                <w:szCs w:val="18"/>
                <w:lang w:bidi="ar"/>
              </w:rPr>
              <w:t>1</w:t>
            </w:r>
          </w:p>
        </w:tc>
        <w:tc>
          <w:tcPr>
            <w:tcW w:w="1252" w:type="dxa"/>
            <w:noWrap w:val="0"/>
            <w:vAlign w:val="center"/>
          </w:tcPr>
          <w:p>
            <w:pPr>
              <w:widowControl/>
              <w:adjustRightInd w:val="0"/>
              <w:snapToGrid w:val="0"/>
              <w:jc w:val="left"/>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企业营业执照丢失声明</w:t>
            </w:r>
          </w:p>
        </w:tc>
        <w:tc>
          <w:tcPr>
            <w:tcW w:w="6388" w:type="dxa"/>
            <w:noWrap w:val="0"/>
            <w:vAlign w:val="center"/>
          </w:tcPr>
          <w:p>
            <w:pPr>
              <w:widowControl/>
              <w:adjustRightInd w:val="0"/>
              <w:snapToGrid w:val="0"/>
              <w:jc w:val="left"/>
              <w:rPr>
                <w:rFonts w:hint="eastAsia" w:ascii="宋体" w:hAnsi="宋体" w:cs="宋体"/>
                <w:sz w:val="18"/>
                <w:szCs w:val="18"/>
              </w:rPr>
            </w:pPr>
            <w:r>
              <w:rPr>
                <w:rFonts w:hint="eastAsia" w:ascii="宋体" w:hAnsi="宋体" w:cs="宋体"/>
                <w:color w:val="000000"/>
                <w:kern w:val="0"/>
                <w:sz w:val="18"/>
                <w:szCs w:val="18"/>
                <w:lang w:bidi="ar"/>
              </w:rPr>
              <w:t xml:space="preserve">《企业法人登记管理条例》第二十五条  登记主管机关核发的《企业法人营业执照》是企业法人凭证，除登记主管机关依照法定程序可以扣缴或者吊销外，其他任何单位和个人不得收缴、扣押、毁坏。 </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企业法人遗失《企业法人营业执照》、《企业法人营业执照》副本，必须登报声明后，方可申请补领。</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79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57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12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全国性报纸或省级（含）以上有影响力的报纸</w:t>
            </w:r>
          </w:p>
        </w:tc>
        <w:tc>
          <w:tcPr>
            <w:tcW w:w="786"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752" w:type="dxa"/>
            <w:noWrap w:val="0"/>
            <w:vAlign w:val="center"/>
          </w:tcPr>
          <w:p>
            <w:r>
              <w:rPr>
                <w:rFonts w:hint="eastAsia" w:ascii="宋体" w:hAnsi="宋体" w:cs="宋体"/>
                <w:sz w:val="18"/>
                <w:szCs w:val="18"/>
              </w:rPr>
              <w:t>无法在国家企业信用信息公示系统进行网上公告。</w:t>
            </w:r>
          </w:p>
        </w:tc>
        <w:tc>
          <w:tcPr>
            <w:tcW w:w="400" w:type="dxa"/>
            <w:noWrap w:val="0"/>
            <w:vAlign w:val="top"/>
          </w:tcPr>
          <w:p>
            <w:pPr>
              <w:widowControl/>
              <w:adjustRightInd w:val="0"/>
              <w:snapToGrid w:val="0"/>
              <w:jc w:val="lef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widowControl/>
              <w:adjustRightInd w:val="0"/>
              <w:snapToGrid w:val="0"/>
              <w:jc w:val="center"/>
              <w:rPr>
                <w:rFonts w:hint="eastAsia" w:ascii="宋体" w:hAnsi="宋体" w:cs="宋体"/>
                <w:sz w:val="18"/>
                <w:szCs w:val="18"/>
              </w:rPr>
            </w:pPr>
            <w:r>
              <w:rPr>
                <w:rFonts w:hint="eastAsia" w:ascii="宋体" w:hAnsi="宋体" w:cs="宋体"/>
                <w:color w:val="000000"/>
                <w:kern w:val="0"/>
                <w:sz w:val="18"/>
                <w:szCs w:val="18"/>
                <w:lang w:bidi="ar"/>
              </w:rPr>
              <w:t>2</w:t>
            </w:r>
          </w:p>
        </w:tc>
        <w:tc>
          <w:tcPr>
            <w:tcW w:w="1252" w:type="dxa"/>
            <w:noWrap w:val="0"/>
            <w:vAlign w:val="center"/>
          </w:tcPr>
          <w:p>
            <w:pPr>
              <w:widowControl/>
              <w:adjustRightInd w:val="0"/>
              <w:snapToGrid w:val="0"/>
              <w:jc w:val="left"/>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公司注销登记债权人公告</w:t>
            </w:r>
          </w:p>
        </w:tc>
        <w:tc>
          <w:tcPr>
            <w:tcW w:w="6388" w:type="dxa"/>
            <w:noWrap w:val="0"/>
            <w:vAlign w:val="center"/>
          </w:tcPr>
          <w:p>
            <w:pPr>
              <w:widowControl/>
              <w:adjustRightInd w:val="0"/>
              <w:snapToGrid w:val="0"/>
              <w:jc w:val="left"/>
              <w:rPr>
                <w:rFonts w:hint="eastAsia" w:ascii="宋体" w:hAnsi="宋体" w:cs="宋体"/>
                <w:sz w:val="18"/>
                <w:szCs w:val="18"/>
              </w:rPr>
            </w:pPr>
            <w:r>
              <w:rPr>
                <w:rFonts w:hint="eastAsia" w:ascii="宋体" w:hAnsi="宋体" w:cs="宋体"/>
                <w:color w:val="000000"/>
                <w:kern w:val="0"/>
                <w:sz w:val="18"/>
                <w:szCs w:val="18"/>
                <w:lang w:bidi="ar"/>
              </w:rPr>
              <w:t>《公司法》第一百八十五条　清算组应当自成立之日起十日内通知债权人，并于六十日内在报纸上公告。债权人应当自接到通知书之日起三十日内，未接到通知书的自公告之日起四十五日内，向清算组申报其债权。</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79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57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12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全国性报纸或省级（含）以上有影响力的报纸</w:t>
            </w:r>
          </w:p>
        </w:tc>
        <w:tc>
          <w:tcPr>
            <w:tcW w:w="786"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752" w:type="dxa"/>
            <w:noWrap w:val="0"/>
            <w:vAlign w:val="center"/>
          </w:tcPr>
          <w:p>
            <w:r>
              <w:rPr>
                <w:rFonts w:hint="eastAsia" w:ascii="宋体" w:hAnsi="宋体" w:cs="宋体"/>
                <w:sz w:val="18"/>
                <w:szCs w:val="18"/>
              </w:rPr>
              <w:t>无法在国家企业信用信息公示系统进行网上公告。</w:t>
            </w:r>
          </w:p>
        </w:tc>
        <w:tc>
          <w:tcPr>
            <w:tcW w:w="400" w:type="dxa"/>
            <w:noWrap w:val="0"/>
            <w:vAlign w:val="top"/>
          </w:tcPr>
          <w:p>
            <w:pPr>
              <w:widowControl/>
              <w:adjustRightInd w:val="0"/>
              <w:snapToGrid w:val="0"/>
              <w:jc w:val="lef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widowControl/>
              <w:adjustRightInd w:val="0"/>
              <w:snapToGrid w:val="0"/>
              <w:jc w:val="center"/>
              <w:rPr>
                <w:rFonts w:hint="eastAsia" w:ascii="宋体" w:hAnsi="宋体" w:cs="宋体"/>
                <w:sz w:val="18"/>
                <w:szCs w:val="18"/>
              </w:rPr>
            </w:pPr>
            <w:r>
              <w:rPr>
                <w:rFonts w:hint="eastAsia" w:ascii="宋体" w:hAnsi="宋体" w:cs="宋体"/>
                <w:color w:val="000000"/>
                <w:kern w:val="0"/>
                <w:sz w:val="18"/>
                <w:szCs w:val="18"/>
                <w:lang w:bidi="ar"/>
              </w:rPr>
              <w:t>3</w:t>
            </w:r>
          </w:p>
        </w:tc>
        <w:tc>
          <w:tcPr>
            <w:tcW w:w="1252" w:type="dxa"/>
            <w:noWrap w:val="0"/>
            <w:vAlign w:val="center"/>
          </w:tcPr>
          <w:p>
            <w:pPr>
              <w:widowControl/>
              <w:adjustRightInd w:val="0"/>
              <w:snapToGrid w:val="0"/>
              <w:jc w:val="left"/>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农民专业合作社债权人公告</w:t>
            </w:r>
          </w:p>
        </w:tc>
        <w:tc>
          <w:tcPr>
            <w:tcW w:w="6388" w:type="dxa"/>
            <w:noWrap w:val="0"/>
            <w:vAlign w:val="center"/>
          </w:tcPr>
          <w:p>
            <w:pPr>
              <w:widowControl/>
              <w:adjustRightInd w:val="0"/>
              <w:snapToGrid w:val="0"/>
              <w:jc w:val="left"/>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《农民专业合作社法》第四十三条  清算组应当自成立之日起十日内通知农民专业合作社成员和债权人，并于六十日内在报纸上公告。债权人应当自接到通知之日起三十日内，未接到通知的自公告之日起四十五日内，向清算组申报债权。如果在规定期间内全部成员、债权人均已收到通知，免除清算组的公告义务。</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79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57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12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全国性报纸或省级（含）以上有影响力的报纸</w:t>
            </w:r>
          </w:p>
        </w:tc>
        <w:tc>
          <w:tcPr>
            <w:tcW w:w="786"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752" w:type="dxa"/>
            <w:noWrap w:val="0"/>
            <w:vAlign w:val="center"/>
          </w:tcPr>
          <w:p>
            <w:r>
              <w:rPr>
                <w:rFonts w:hint="eastAsia" w:ascii="宋体" w:hAnsi="宋体" w:cs="宋体"/>
                <w:sz w:val="18"/>
                <w:szCs w:val="18"/>
              </w:rPr>
              <w:t>无法在国家企业信用信息公示系统进行网上公告。</w:t>
            </w:r>
          </w:p>
        </w:tc>
        <w:tc>
          <w:tcPr>
            <w:tcW w:w="400" w:type="dxa"/>
            <w:noWrap w:val="0"/>
            <w:vAlign w:val="top"/>
          </w:tcPr>
          <w:p>
            <w:pPr>
              <w:widowControl/>
              <w:adjustRightInd w:val="0"/>
              <w:snapToGrid w:val="0"/>
              <w:jc w:val="lef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widowControl/>
              <w:adjustRightInd w:val="0"/>
              <w:snapToGrid w:val="0"/>
              <w:jc w:val="center"/>
              <w:rPr>
                <w:rFonts w:hint="eastAsia" w:ascii="宋体" w:hAnsi="宋体" w:cs="宋体"/>
                <w:sz w:val="18"/>
                <w:szCs w:val="18"/>
              </w:rPr>
            </w:pPr>
            <w:r>
              <w:rPr>
                <w:rFonts w:hint="eastAsia" w:ascii="宋体" w:hAnsi="宋体" w:cs="宋体"/>
                <w:color w:val="000000"/>
                <w:kern w:val="0"/>
                <w:sz w:val="18"/>
                <w:szCs w:val="18"/>
                <w:lang w:bidi="ar"/>
              </w:rPr>
              <w:t>4</w:t>
            </w:r>
          </w:p>
        </w:tc>
        <w:tc>
          <w:tcPr>
            <w:tcW w:w="1252" w:type="dxa"/>
            <w:noWrap w:val="0"/>
            <w:vAlign w:val="center"/>
          </w:tcPr>
          <w:p>
            <w:pPr>
              <w:widowControl/>
              <w:adjustRightInd w:val="0"/>
              <w:snapToGrid w:val="0"/>
              <w:jc w:val="left"/>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（非公司）外商投资企业债权人公告</w:t>
            </w:r>
          </w:p>
        </w:tc>
        <w:tc>
          <w:tcPr>
            <w:tcW w:w="6388" w:type="dxa"/>
            <w:noWrap w:val="0"/>
            <w:vAlign w:val="center"/>
          </w:tcPr>
          <w:p>
            <w:pPr>
              <w:widowControl/>
              <w:adjustRightInd w:val="0"/>
              <w:snapToGrid w:val="0"/>
              <w:jc w:val="left"/>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《外资企业法实施细则》第七十一条</w:t>
            </w:r>
            <w:r>
              <w:rPr>
                <w:rStyle w:val="4"/>
                <w:rFonts w:hint="default"/>
                <w:sz w:val="18"/>
                <w:szCs w:val="18"/>
                <w:lang w:bidi="ar"/>
              </w:rPr>
              <w:t xml:space="preserve">  外资企业依照本实施细则第七十条第（一）、（二）、（三）、（六）项的规定终止的，应当在终止之日起15天内对外公告并通知债权人，并在终止公告发出之日起15天内，提出清算程序、原则和清算委员会人选，报审批机关审核后进行清算。</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79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57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12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全国性报纸或省级（含）以上有影响力的报纸</w:t>
            </w:r>
          </w:p>
        </w:tc>
        <w:tc>
          <w:tcPr>
            <w:tcW w:w="786"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752" w:type="dxa"/>
            <w:noWrap w:val="0"/>
            <w:vAlign w:val="center"/>
          </w:tcPr>
          <w:p>
            <w:r>
              <w:rPr>
                <w:rFonts w:hint="eastAsia" w:ascii="宋体" w:hAnsi="宋体" w:cs="宋体"/>
                <w:sz w:val="18"/>
                <w:szCs w:val="18"/>
              </w:rPr>
              <w:t>无法在国家企业信用信息公示系统进行网上公告。</w:t>
            </w:r>
          </w:p>
        </w:tc>
        <w:tc>
          <w:tcPr>
            <w:tcW w:w="400" w:type="dxa"/>
            <w:noWrap w:val="0"/>
            <w:vAlign w:val="top"/>
          </w:tcPr>
          <w:p>
            <w:pPr>
              <w:widowControl/>
              <w:adjustRightInd w:val="0"/>
              <w:snapToGrid w:val="0"/>
              <w:jc w:val="lef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widowControl/>
              <w:adjustRightInd w:val="0"/>
              <w:snapToGrid w:val="0"/>
              <w:jc w:val="center"/>
              <w:rPr>
                <w:rFonts w:hint="eastAsia" w:ascii="宋体" w:hAnsi="宋体" w:cs="宋体"/>
                <w:sz w:val="18"/>
                <w:szCs w:val="18"/>
              </w:rPr>
            </w:pPr>
            <w:r>
              <w:rPr>
                <w:rFonts w:hint="eastAsia" w:ascii="宋体" w:hAnsi="宋体" w:cs="宋体"/>
                <w:color w:val="000000"/>
                <w:kern w:val="0"/>
                <w:sz w:val="18"/>
                <w:szCs w:val="18"/>
                <w:lang w:bidi="ar"/>
              </w:rPr>
              <w:t>5</w:t>
            </w:r>
          </w:p>
        </w:tc>
        <w:tc>
          <w:tcPr>
            <w:tcW w:w="1252" w:type="dxa"/>
            <w:noWrap w:val="0"/>
            <w:vAlign w:val="center"/>
          </w:tcPr>
          <w:p>
            <w:pPr>
              <w:widowControl/>
              <w:adjustRightInd w:val="0"/>
              <w:snapToGrid w:val="0"/>
              <w:jc w:val="left"/>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个人独资企业注销登记债权人公告</w:t>
            </w:r>
          </w:p>
        </w:tc>
        <w:tc>
          <w:tcPr>
            <w:tcW w:w="6388" w:type="dxa"/>
            <w:noWrap w:val="0"/>
            <w:vAlign w:val="center"/>
          </w:tcPr>
          <w:p>
            <w:pPr>
              <w:widowControl/>
              <w:adjustRightInd w:val="0"/>
              <w:snapToGrid w:val="0"/>
              <w:jc w:val="left"/>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《个人独资企业法》第二十七条　</w:t>
            </w:r>
            <w:r>
              <w:rPr>
                <w:rStyle w:val="4"/>
                <w:rFonts w:hint="default"/>
                <w:sz w:val="18"/>
                <w:szCs w:val="18"/>
                <w:lang w:bidi="ar"/>
              </w:rPr>
              <w:t>个人独资企业解散，由投资人自行清算或者由债权人申请人民法院指定清算人进行清算。投资人自行清算的，应当在清算前十五日内书面通知债权人，无法通知的，应当予以公告。债权人应当在接到通知之日起三十日内，未接到通知的应当在公告之日起六十日内，向投资人申报其债权。</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79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57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12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全国性报纸或省级（含）以上有影响力的报纸</w:t>
            </w:r>
          </w:p>
        </w:tc>
        <w:tc>
          <w:tcPr>
            <w:tcW w:w="786"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752" w:type="dxa"/>
            <w:noWrap w:val="0"/>
            <w:vAlign w:val="center"/>
          </w:tcPr>
          <w:p>
            <w:r>
              <w:rPr>
                <w:rFonts w:hint="eastAsia" w:ascii="宋体" w:hAnsi="宋体" w:cs="宋体"/>
                <w:sz w:val="18"/>
                <w:szCs w:val="18"/>
              </w:rPr>
              <w:t>无法在国家企业信用信息公示系统进行网上公告。</w:t>
            </w:r>
          </w:p>
        </w:tc>
        <w:tc>
          <w:tcPr>
            <w:tcW w:w="400" w:type="dxa"/>
            <w:noWrap w:val="0"/>
            <w:vAlign w:val="top"/>
          </w:tcPr>
          <w:p>
            <w:pPr>
              <w:widowControl/>
              <w:adjustRightInd w:val="0"/>
              <w:snapToGrid w:val="0"/>
              <w:jc w:val="lef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noWrap w:val="0"/>
            <w:vAlign w:val="center"/>
          </w:tcPr>
          <w:p>
            <w:pPr>
              <w:widowControl/>
              <w:adjustRightInd w:val="0"/>
              <w:snapToGrid w:val="0"/>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6</w:t>
            </w:r>
          </w:p>
        </w:tc>
        <w:tc>
          <w:tcPr>
            <w:tcW w:w="1252" w:type="dxa"/>
            <w:noWrap w:val="0"/>
            <w:vAlign w:val="center"/>
          </w:tcPr>
          <w:p>
            <w:pPr>
              <w:widowControl/>
              <w:adjustRightInd w:val="0"/>
              <w:snapToGrid w:val="0"/>
              <w:jc w:val="left"/>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合伙企业注销登记债权人公告</w:t>
            </w:r>
          </w:p>
        </w:tc>
        <w:tc>
          <w:tcPr>
            <w:tcW w:w="6388" w:type="dxa"/>
            <w:noWrap w:val="0"/>
            <w:vAlign w:val="center"/>
          </w:tcPr>
          <w:p>
            <w:pPr>
              <w:widowControl/>
              <w:adjustRightInd w:val="0"/>
              <w:snapToGrid w:val="0"/>
              <w:jc w:val="left"/>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《合伙企业法》第八十八条　清算人自被确定之日起十日内将合伙企业解散事项通知债权人，并于六十日内在报纸上公告。债权人应当自接到通知书之日起三十日内，未接到通知书的自公告之日起四十五日内，向清算人申报债权。</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79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57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12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全国性报纸或省级（含）以上有影响力的报纸</w:t>
            </w:r>
          </w:p>
        </w:tc>
        <w:tc>
          <w:tcPr>
            <w:tcW w:w="786"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752" w:type="dxa"/>
            <w:noWrap w:val="0"/>
            <w:vAlign w:val="center"/>
          </w:tcPr>
          <w:p>
            <w:r>
              <w:rPr>
                <w:rFonts w:hint="eastAsia" w:ascii="宋体" w:hAnsi="宋体" w:cs="宋体"/>
                <w:sz w:val="18"/>
                <w:szCs w:val="18"/>
              </w:rPr>
              <w:t>无法在国家企业信用信息公示系统进行网上公告。</w:t>
            </w:r>
          </w:p>
        </w:tc>
        <w:tc>
          <w:tcPr>
            <w:tcW w:w="400" w:type="dxa"/>
            <w:noWrap w:val="0"/>
            <w:vAlign w:val="top"/>
          </w:tcPr>
          <w:p>
            <w:pPr>
              <w:widowControl/>
              <w:adjustRightInd w:val="0"/>
              <w:snapToGrid w:val="0"/>
              <w:jc w:val="lef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1" w:hRule="atLeast"/>
        </w:trPr>
        <w:tc>
          <w:tcPr>
            <w:tcW w:w="438" w:type="dxa"/>
            <w:noWrap w:val="0"/>
            <w:vAlign w:val="center"/>
          </w:tcPr>
          <w:p>
            <w:pPr>
              <w:widowControl/>
              <w:adjustRightInd w:val="0"/>
              <w:snapToGrid w:val="0"/>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7</w:t>
            </w:r>
          </w:p>
        </w:tc>
        <w:tc>
          <w:tcPr>
            <w:tcW w:w="1252" w:type="dxa"/>
            <w:noWrap w:val="0"/>
            <w:vAlign w:val="center"/>
          </w:tcPr>
          <w:p>
            <w:pPr>
              <w:widowControl/>
              <w:adjustRightInd w:val="0"/>
              <w:snapToGrid w:val="0"/>
              <w:jc w:val="left"/>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公司合并、分立登记债权人公告</w:t>
            </w:r>
          </w:p>
        </w:tc>
        <w:tc>
          <w:tcPr>
            <w:tcW w:w="6388" w:type="dxa"/>
            <w:noWrap w:val="0"/>
            <w:vAlign w:val="center"/>
          </w:tcPr>
          <w:p>
            <w:pPr>
              <w:widowControl/>
              <w:adjustRightInd w:val="0"/>
              <w:snapToGrid w:val="0"/>
              <w:jc w:val="left"/>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《公司法》第一百七十三条　公司合并，应当由合并各方签订合并协议，并编制资产负债表及财产清单。公司应当自作出合并决议之日起十日内通知债权人，并于三十日内在报纸上公告。债权人自接到通知书之日起三十日内，未接到通知书的自公告之日起四十五日内，可以要求公司清偿债务或者提供相应的担保。</w:t>
            </w:r>
          </w:p>
          <w:p>
            <w:pPr>
              <w:widowControl/>
              <w:adjustRightInd w:val="0"/>
              <w:snapToGrid w:val="0"/>
              <w:jc w:val="left"/>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《公司登记管理条例》第三十八条　因合并、分立而存续的公司，其登记事项发生变化的，应当申请变更登记；因合并、分立而解散的公司，应当申请注销登记；因合并、分立而新设立的公司，应当申请设立登记。公司合并、分立的，应当自公告之日起45日后申请登记，提交合并协议和合并、分立决议或者决定以及公司在报纸上登载公司合并、分立公告的有关证明和债务清偿或者债务担保情况的说明。法律、行政法规或者国务院决定规定公司合并、分立必须报经批准的，还应当提交有关批准文件。</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79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57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12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全国性报纸或省级（含）以上有影响力的报纸</w:t>
            </w:r>
          </w:p>
        </w:tc>
        <w:tc>
          <w:tcPr>
            <w:tcW w:w="786"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752" w:type="dxa"/>
            <w:noWrap w:val="0"/>
            <w:vAlign w:val="center"/>
          </w:tcPr>
          <w:p>
            <w:pPr>
              <w:widowControl/>
              <w:adjustRightInd w:val="0"/>
              <w:snapToGrid w:val="0"/>
              <w:rPr>
                <w:rFonts w:hint="eastAsia" w:ascii="宋体" w:hAnsi="宋体" w:cs="宋体"/>
                <w:sz w:val="18"/>
                <w:szCs w:val="18"/>
              </w:rPr>
            </w:pPr>
            <w:r>
              <w:rPr>
                <w:rFonts w:hint="eastAsia" w:ascii="宋体" w:hAnsi="宋体" w:cs="宋体"/>
                <w:sz w:val="18"/>
                <w:szCs w:val="18"/>
              </w:rPr>
              <w:t>法律、行政法规规定，以及涉及企业履行告知义务。</w:t>
            </w:r>
          </w:p>
        </w:tc>
        <w:tc>
          <w:tcPr>
            <w:tcW w:w="400" w:type="dxa"/>
            <w:noWrap w:val="0"/>
            <w:vAlign w:val="top"/>
          </w:tcPr>
          <w:p>
            <w:pPr>
              <w:widowControl/>
              <w:adjustRightInd w:val="0"/>
              <w:snapToGrid w:val="0"/>
              <w:jc w:val="left"/>
              <w:rPr>
                <w:rFonts w:hint="eastAsia"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9" w:hRule="atLeast"/>
        </w:trPr>
        <w:tc>
          <w:tcPr>
            <w:tcW w:w="438" w:type="dxa"/>
            <w:noWrap w:val="0"/>
            <w:vAlign w:val="center"/>
          </w:tcPr>
          <w:p>
            <w:pPr>
              <w:widowControl/>
              <w:adjustRightInd w:val="0"/>
              <w:snapToGrid w:val="0"/>
              <w:jc w:val="center"/>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8</w:t>
            </w:r>
          </w:p>
        </w:tc>
        <w:tc>
          <w:tcPr>
            <w:tcW w:w="1252" w:type="dxa"/>
            <w:noWrap w:val="0"/>
            <w:vAlign w:val="center"/>
          </w:tcPr>
          <w:p>
            <w:pPr>
              <w:widowControl/>
              <w:adjustRightInd w:val="0"/>
              <w:snapToGrid w:val="0"/>
              <w:jc w:val="left"/>
              <w:rPr>
                <w:rFonts w:hint="eastAsia" w:ascii="宋体" w:hAnsi="宋体" w:eastAsia="宋体" w:cs="宋体"/>
                <w:color w:val="000000"/>
                <w:kern w:val="0"/>
                <w:sz w:val="18"/>
                <w:szCs w:val="18"/>
                <w:lang w:bidi="ar"/>
              </w:rPr>
            </w:pPr>
            <w:r>
              <w:rPr>
                <w:rFonts w:hint="eastAsia" w:ascii="宋体" w:hAnsi="宋体" w:eastAsia="宋体" w:cs="宋体"/>
                <w:color w:val="000000"/>
                <w:kern w:val="0"/>
                <w:sz w:val="18"/>
                <w:szCs w:val="18"/>
                <w:lang w:bidi="ar"/>
              </w:rPr>
              <w:t>公司减少注册资本债权人公告</w:t>
            </w:r>
          </w:p>
        </w:tc>
        <w:tc>
          <w:tcPr>
            <w:tcW w:w="6388" w:type="dxa"/>
            <w:noWrap w:val="0"/>
            <w:vAlign w:val="center"/>
          </w:tcPr>
          <w:p>
            <w:pPr>
              <w:widowControl/>
              <w:adjustRightInd w:val="0"/>
              <w:snapToGrid w:val="0"/>
              <w:jc w:val="left"/>
              <w:rPr>
                <w:rFonts w:hint="eastAsia" w:ascii="宋体" w:hAnsi="宋体" w:cs="宋体"/>
                <w:color w:val="000000"/>
                <w:kern w:val="0"/>
                <w:sz w:val="18"/>
                <w:szCs w:val="18"/>
                <w:lang w:bidi="ar"/>
              </w:rPr>
            </w:pPr>
            <w:r>
              <w:rPr>
                <w:rFonts w:hint="eastAsia" w:ascii="宋体" w:hAnsi="宋体" w:cs="宋体"/>
                <w:color w:val="000000"/>
                <w:kern w:val="0"/>
                <w:sz w:val="18"/>
                <w:szCs w:val="18"/>
                <w:lang w:bidi="ar"/>
              </w:rPr>
              <w:t>《公司法》第一百七十七条　公司需要减少注册资本时，必须编制资产负债表及财产清单。</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公司应当自作出减少注册资本决议之日起十日内通知债权人，并于三十日内在报纸上公告。债权人自接到通知书之日起三十日内，未接到通知书的自公告之日起四十五日内，有权要求公司清偿债务或者提供相应的担保。</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 xml:space="preserve">《公司登记管理条例》第三十一条  公司增加注册资本的，应当自变更决议或者决定作出之日起30日内申请变更登记。 </w:t>
            </w:r>
            <w:r>
              <w:rPr>
                <w:rFonts w:hint="eastAsia" w:ascii="宋体" w:hAnsi="宋体" w:cs="宋体"/>
                <w:color w:val="000000"/>
                <w:kern w:val="0"/>
                <w:sz w:val="18"/>
                <w:szCs w:val="18"/>
                <w:lang w:bidi="ar"/>
              </w:rPr>
              <w:br w:type="textWrapping"/>
            </w:r>
            <w:r>
              <w:rPr>
                <w:rFonts w:hint="eastAsia" w:ascii="宋体" w:hAnsi="宋体" w:cs="宋体"/>
                <w:color w:val="000000"/>
                <w:kern w:val="0"/>
                <w:sz w:val="18"/>
                <w:szCs w:val="18"/>
                <w:lang w:bidi="ar"/>
              </w:rPr>
              <w:t>公司减少注册资本的，应当自公告之日起45日后申请变更登记，并应当提交公司在报纸上登载公司减少注册资本公告的有关证明和公司债务清偿或者债务担保情况的说明。</w:t>
            </w:r>
          </w:p>
        </w:tc>
        <w:tc>
          <w:tcPr>
            <w:tcW w:w="661"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市场监督管理部门</w:t>
            </w:r>
          </w:p>
        </w:tc>
        <w:tc>
          <w:tcPr>
            <w:tcW w:w="79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各级市场监督管理部门</w:t>
            </w:r>
          </w:p>
        </w:tc>
        <w:tc>
          <w:tcPr>
            <w:tcW w:w="577"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123"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全国性报纸或省级（含）以上有影响力的报纸</w:t>
            </w:r>
          </w:p>
        </w:tc>
        <w:tc>
          <w:tcPr>
            <w:tcW w:w="786" w:type="dxa"/>
            <w:noWrap w:val="0"/>
            <w:vAlign w:val="center"/>
          </w:tcPr>
          <w:p>
            <w:pPr>
              <w:adjustRightInd w:val="0"/>
              <w:snapToGrid w:val="0"/>
              <w:jc w:val="center"/>
              <w:rPr>
                <w:rFonts w:hint="eastAsia" w:ascii="宋体" w:hAnsi="宋体" w:cs="宋体"/>
                <w:sz w:val="18"/>
                <w:szCs w:val="18"/>
              </w:rPr>
            </w:pPr>
            <w:r>
              <w:rPr>
                <w:rFonts w:hint="eastAsia" w:ascii="宋体" w:hAnsi="宋体" w:cs="宋体"/>
                <w:sz w:val="18"/>
                <w:szCs w:val="18"/>
              </w:rPr>
              <w:t>企业</w:t>
            </w:r>
          </w:p>
        </w:tc>
        <w:tc>
          <w:tcPr>
            <w:tcW w:w="1752" w:type="dxa"/>
            <w:noWrap w:val="0"/>
            <w:vAlign w:val="center"/>
          </w:tcPr>
          <w:p>
            <w:pPr>
              <w:widowControl/>
              <w:adjustRightInd w:val="0"/>
              <w:snapToGrid w:val="0"/>
              <w:rPr>
                <w:rFonts w:hint="eastAsia" w:ascii="宋体" w:hAnsi="宋体" w:cs="宋体"/>
                <w:sz w:val="18"/>
                <w:szCs w:val="18"/>
              </w:rPr>
            </w:pPr>
            <w:r>
              <w:rPr>
                <w:rFonts w:hint="eastAsia" w:ascii="宋体" w:hAnsi="宋体" w:cs="宋体"/>
                <w:sz w:val="18"/>
                <w:szCs w:val="18"/>
              </w:rPr>
              <w:t>法律、行政法规规定，以及涉及企业履行告知义务。</w:t>
            </w:r>
          </w:p>
        </w:tc>
        <w:tc>
          <w:tcPr>
            <w:tcW w:w="400" w:type="dxa"/>
            <w:noWrap w:val="0"/>
            <w:vAlign w:val="top"/>
          </w:tcPr>
          <w:p>
            <w:pPr>
              <w:widowControl/>
              <w:adjustRightInd w:val="0"/>
              <w:snapToGrid w:val="0"/>
              <w:jc w:val="left"/>
              <w:rPr>
                <w:rFonts w:hint="eastAsia" w:ascii="宋体" w:hAnsi="宋体" w:cs="宋体"/>
                <w:sz w:val="18"/>
                <w:szCs w:val="18"/>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8358B9"/>
    <w:rsid w:val="41835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21"/>
    <w:basedOn w:val="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2021-09-02T02:47:00Z</dcterms:created>
  <dc:creator>雪糕小主</dc:creator>
  <cp:lastModifiedBy>雪糕小主</cp:lastModifiedBy>
  <dcterms:modified xsi:type="dcterms:W3CDTF">2021-09-02T02:48:01Z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AAED2E2FF82444FBA36E668112C25617</vt:lpwstr>
  </property>
</Properties>
</file>