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黑体" w:eastAsia="方正小标宋简体"/>
          <w:szCs w:val="32"/>
        </w:rPr>
      </w:pPr>
      <w:bookmarkStart w:id="0" w:name="_GoBack"/>
      <w:r>
        <w:rPr>
          <w:rFonts w:hint="eastAsia" w:ascii="方正小标宋简体" w:eastAsia="方正小标宋简体"/>
          <w:b/>
          <w:bCs/>
          <w:sz w:val="44"/>
          <w:szCs w:val="44"/>
        </w:rPr>
        <w:t>西安市长安区市场监督管理局</w:t>
      </w:r>
    </w:p>
    <w:p>
      <w:pPr>
        <w:spacing w:line="64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pacing w:val="-30"/>
          <w:sz w:val="44"/>
          <w:szCs w:val="44"/>
        </w:rPr>
        <w:t>关于对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抽样单为SC22610000750836758不合格食品核</w:t>
      </w:r>
      <w:r>
        <w:rPr>
          <w:rFonts w:hint="eastAsia" w:ascii="方正小标宋简体" w:eastAsia="方正小标宋简体"/>
          <w:b/>
          <w:spacing w:val="-30"/>
          <w:sz w:val="44"/>
          <w:szCs w:val="44"/>
        </w:rPr>
        <w:t>查处置</w:t>
      </w:r>
      <w:r>
        <w:rPr>
          <w:rFonts w:hint="eastAsia" w:ascii="方正小标宋简体" w:eastAsia="方正小标宋简体"/>
          <w:b/>
          <w:sz w:val="44"/>
          <w:szCs w:val="44"/>
        </w:rPr>
        <w:t>情况的公告</w:t>
      </w:r>
    </w:p>
    <w:bookmarkEnd w:id="0"/>
    <w:p>
      <w:pPr>
        <w:spacing w:line="560" w:lineRule="exact"/>
        <w:ind w:firstLine="640" w:firstLineChars="200"/>
        <w:rPr>
          <w:rFonts w:ascii="仿宋_GB2312" w:hAnsi="华文仿宋" w:eastAsia="仿宋_GB2312" w:cs="仿宋"/>
          <w:color w:val="000000"/>
          <w:kern w:val="0"/>
          <w:szCs w:val="21"/>
        </w:rPr>
      </w:pPr>
      <w:r>
        <w:rPr>
          <w:rFonts w:hint="eastAsia" w:ascii="仿宋_GB2312" w:hAnsi="华文仿宋" w:eastAsia="仿宋_GB2312" w:cs="仿宋"/>
          <w:color w:val="000000"/>
          <w:kern w:val="0"/>
          <w:szCs w:val="32"/>
        </w:rPr>
        <w:t>2022年8月15日，陕西省市场监督管理局组织对该单位销售的“永辉优选田趣阿胶红糖（其他固体饮料）”进行了抽样检验。2022年9月6日我局收到西安市食品药品检验所出具的该批“永辉优选田趣阿胶红糖（其他固体饮料）”检验报告（XASP20227311 ），显示菌落总数项目不符合 GB 7101-2015《食品安全国家标准 饮料》要求，检验结论不合格。</w:t>
      </w:r>
      <w:r>
        <w:rPr>
          <w:rFonts w:hint="eastAsia" w:ascii="仿宋_GB2312" w:hAnsi="华文仿宋" w:eastAsia="仿宋_GB2312" w:cs="仿宋"/>
          <w:color w:val="000000"/>
          <w:kern w:val="0"/>
          <w:szCs w:val="21"/>
        </w:rPr>
        <w:t>现将核查处置情况公告如下：</w:t>
      </w:r>
    </w:p>
    <w:p>
      <w:pPr>
        <w:spacing w:line="560" w:lineRule="exact"/>
        <w:ind w:firstLine="640" w:firstLineChars="200"/>
        <w:rPr>
          <w:rFonts w:ascii="宋体" w:hAnsi="宋体" w:cs="方正小标宋简体"/>
          <w:b/>
          <w:bCs/>
          <w:color w:val="000000"/>
          <w:sz w:val="44"/>
          <w:szCs w:val="44"/>
        </w:rPr>
      </w:pPr>
      <w:r>
        <w:rPr>
          <w:rFonts w:hint="eastAsia" w:ascii="仿宋_GB2312" w:hAnsi="华文仿宋" w:eastAsia="仿宋_GB2312" w:cs="仿宋"/>
          <w:color w:val="000000"/>
          <w:kern w:val="0"/>
          <w:szCs w:val="21"/>
        </w:rPr>
        <w:t>一、</w:t>
      </w:r>
      <w:r>
        <w:rPr>
          <w:rFonts w:hint="eastAsia" w:ascii="仿宋_GB2312" w:hAnsi="华文仿宋" w:eastAsia="仿宋_GB2312" w:cs="仿宋"/>
          <w:b/>
          <w:bCs/>
          <w:color w:val="000000"/>
          <w:kern w:val="0"/>
          <w:szCs w:val="21"/>
        </w:rPr>
        <w:t>监管部门的调查处置情况：</w:t>
      </w:r>
      <w:r>
        <w:rPr>
          <w:rFonts w:hint="eastAsia" w:ascii="仿宋_GB2312" w:hAnsi="华文仿宋" w:eastAsia="仿宋_GB2312" w:cs="仿宋"/>
          <w:color w:val="000000"/>
          <w:kern w:val="0"/>
          <w:szCs w:val="32"/>
        </w:rPr>
        <w:t xml:space="preserve">执法人员于 2022年9月14日向该单位送达了检验报告，并对该单位告知了申请复检的权利，该单位对检验结果现场未提出异议，无需复检。我局执法人员同时开展了食品安全检查，下达了现场检查笔录， 该店现场向我局提供了该单位营业执照、食品经营许可证、法人身份证复印件、问题食品相关购进查验台账、销售台账、进货单据凭证、检测报告及供应方的资质等相关资料。 </w:t>
      </w:r>
    </w:p>
    <w:p>
      <w:pPr>
        <w:spacing w:line="560" w:lineRule="exact"/>
        <w:ind w:firstLine="643" w:firstLineChars="200"/>
        <w:rPr>
          <w:rFonts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二、产品控制情况。</w:t>
      </w:r>
      <w:r>
        <w:rPr>
          <w:rFonts w:hint="eastAsia"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当事人销售的该批“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永辉优选田趣阿胶红糖（其他固体饮料）”</w:t>
      </w:r>
      <w:r>
        <w:rPr>
          <w:rFonts w:hint="eastAsia"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是2022年2月22日当事人在</w:t>
      </w:r>
      <w:r>
        <w:rPr>
          <w:rFonts w:hint="eastAsia" w:ascii="仿宋_GB2312" w:hAnsi="宋体" w:eastAsia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福建好日子食品有限公司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购进，共3</w:t>
      </w:r>
      <w:r>
        <w:rPr>
          <w:rFonts w:hint="eastAsia"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件（规格为30袋/件），247.5元/件，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共计742.5</w:t>
      </w:r>
      <w:r>
        <w:rPr>
          <w:rFonts w:hint="eastAsia"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元，当事人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以9.9元/袋-13.9元/袋不等价格销售90袋，共计销售1019.76元，货值金额为1019.76元、违法所得1019.76元，抽样数量12袋，已销售完，无剩余。 该单位已对不合格产品进行召回，召回数量为零。</w:t>
      </w:r>
      <w:r>
        <w:rPr>
          <w:rFonts w:hint="eastAsia" w:ascii="仿宋_GB2312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60" w:lineRule="exact"/>
        <w:ind w:firstLine="643" w:firstLineChars="200"/>
        <w:rPr>
          <w:rFonts w:ascii="仿宋_GB2312" w:eastAsia="仿宋_GB2312" w:cs="仿宋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三、违法行为查处情况。</w:t>
      </w:r>
    </w:p>
    <w:p>
      <w:pPr>
        <w:autoSpaceDE w:val="0"/>
        <w:autoSpaceDN w:val="0"/>
        <w:adjustRightInd w:val="0"/>
        <w:spacing w:line="560" w:lineRule="exact"/>
        <w:ind w:right="560" w:rightChars="175" w:firstLine="640" w:firstLineChars="200"/>
        <w:rPr>
          <w:rFonts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当事人经营不合格食用农产品“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永辉优选田趣阿胶红糖（其他固体饮料）</w:t>
      </w:r>
      <w:r>
        <w:rPr>
          <w:rFonts w:hint="eastAsia" w:ascii="仿宋_GB2312" w:hAnsi="宋体" w:eastAsia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”的行为违反了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《中华人民共和国食品安全法》</w:t>
      </w:r>
      <w:r>
        <w:rPr>
          <w:rFonts w:hint="eastAsia" w:ascii="仿宋_GB2312" w:hAnsi="宋体" w:eastAsia="仿宋_GB2312" w:cs="Arial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第三十四条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“禁止生产经营下列食品、食品添加剂、食品相关产品：（十三）其他不符合法律、法规或者食品安全标准的食品、食品添加剂、食品相关产品”的规定</w:t>
      </w:r>
      <w:r>
        <w:rPr>
          <w:rFonts w:hint="eastAsia" w:ascii="仿宋_GB2312" w:hAnsi="宋体" w:eastAsia="仿宋_GB2312" w:cs="Arial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鉴于</w:t>
      </w:r>
      <w:r>
        <w:rPr>
          <w:rFonts w:hint="eastAsia" w:ascii="仿宋_GB2312" w:hAnsi="宋体" w:eastAsia="仿宋_GB2312" w:cs="Arial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当事人在经营过程中履行了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《中华人民共和国食品安全法》第五十三条第一款、第二款“</w:t>
      </w:r>
      <w:r>
        <w:rPr>
          <w:rFonts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食品经营者采购食品，应当查验供货者的许可证和食品出厂检验合格证或者其他合格证明（以下称合格证明文件）。食品经营企业应当建立食品进货查验记录制度，如实记录食品的名称、规格、数量、生产日期或者生产批号、保质期、进货日期以及供货者名称、地址、联系方式等内容，并保存相关凭证。记录和凭证保存期限应当符合本法第五十条第二款的规定。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”规定的进货查验等义务，有充分证据证明其不知道所采购的食品不符合食品安全标准，并能如实说明其进货来源。</w:t>
      </w:r>
    </w:p>
    <w:p>
      <w:pPr>
        <w:autoSpaceDE w:val="0"/>
        <w:autoSpaceDN w:val="0"/>
        <w:adjustRightInd w:val="0"/>
        <w:spacing w:line="560" w:lineRule="exact"/>
        <w:ind w:right="560" w:rightChars="175" w:firstLine="640" w:firstLineChars="200"/>
        <w:rPr>
          <w:rFonts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Mongolian Baiti"/>
          <w:color w:val="000000" w:themeColor="text1"/>
          <w:kern w:val="1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处理意见及依据：</w:t>
      </w:r>
    </w:p>
    <w:p>
      <w:pPr>
        <w:autoSpaceDE w:val="0"/>
        <w:autoSpaceDN w:val="0"/>
        <w:adjustRightInd w:val="0"/>
        <w:spacing w:line="560" w:lineRule="exact"/>
        <w:ind w:right="560" w:rightChars="175" w:firstLine="640" w:firstLineChars="200"/>
        <w:rPr>
          <w:rFonts w:ascii="仿宋_GB2312" w:hAnsi="宋体" w:eastAsia="仿宋_GB2312" w:cs="Arial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依据《中华人民共和国食品安全法</w:t>
      </w:r>
      <w:r>
        <w:rPr>
          <w:rFonts w:hint="eastAsia" w:ascii="仿宋_GB2312" w:hAnsi="宋体" w:eastAsia="仿宋_GB2312" w:cs="Arial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第一百三十六条“食品经营者履行了本法规定的进货查验等义务，有充分证据证明其不知道所采购的食品不符合食品安全标准，并能如实说明其进货来源的，可以免予处罚，但应当依法没收其不符合食品安全标准的食品；造成人身、财产或者其他损害的，依法承担赔偿责任。”</w:t>
      </w:r>
      <w:r>
        <w:rPr>
          <w:rFonts w:hint="eastAsia" w:ascii="仿宋_GB2312" w:hAnsi="宋体" w:eastAsia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 w:cs="Arial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的规定，本局现责令你单位改正上述违法行为并对你单位作出如下行政处罚：</w:t>
      </w:r>
    </w:p>
    <w:p>
      <w:pPr>
        <w:widowControl/>
        <w:shd w:val="clear" w:color="auto" w:fill="FFFFFF"/>
        <w:spacing w:after="225" w:line="560" w:lineRule="exact"/>
        <w:ind w:firstLine="640" w:firstLineChars="200"/>
        <w:jc w:val="left"/>
        <w:rPr>
          <w:rFonts w:ascii="仿宋_GB2312" w:hAnsi="宋体" w:eastAsia="仿宋_GB2312" w:cs="Arial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Arial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免予行政处罚。</w:t>
      </w:r>
    </w:p>
    <w:p>
      <w:pPr>
        <w:spacing w:line="560" w:lineRule="exact"/>
        <w:ind w:firstLine="640" w:firstLineChars="200"/>
        <w:rPr>
          <w:rFonts w:ascii="仿宋_GB2312" w:hAnsi="方正仿宋简体" w:eastAsia="仿宋_GB2312" w:cs="方正仿宋简体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方正仿宋简体" w:eastAsia="仿宋_GB2312" w:cs="方正仿宋简体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四、原因排查及企业整改情况。</w:t>
      </w:r>
    </w:p>
    <w:p>
      <w:pPr>
        <w:spacing w:line="560" w:lineRule="exact"/>
        <w:ind w:firstLine="640"/>
        <w:rPr>
          <w:rFonts w:ascii="仿宋_GB2312" w:hAnsi="方正仿宋简体" w:eastAsia="仿宋_GB2312" w:cs="方正仿宋简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方正仿宋简体" w:eastAsia="仿宋_GB2312" w:cs="方正仿宋简体"/>
          <w:color w:val="000000" w:themeColor="text1"/>
          <w:szCs w:val="32"/>
          <w14:textFill>
            <w14:solidFill>
              <w14:schemeClr w14:val="tx1"/>
            </w14:solidFill>
          </w14:textFill>
        </w:rPr>
        <w:t>收到不合格报告后，我局立即督促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西安市长安区果丫头水果行</w:t>
      </w:r>
      <w:r>
        <w:rPr>
          <w:rFonts w:hint="eastAsia" w:ascii="仿宋_GB2312" w:hAnsi="方正仿宋简体" w:eastAsia="仿宋_GB2312" w:cs="方正仿宋简体"/>
          <w:color w:val="000000" w:themeColor="text1"/>
          <w:szCs w:val="32"/>
          <w14:textFill>
            <w14:solidFill>
              <w14:schemeClr w14:val="tx1"/>
            </w14:solidFill>
          </w14:textFill>
        </w:rPr>
        <w:t>排查不合格原因，经排查，该店经营的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永辉优选田趣阿胶红糖（其他固体饮料）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菌落总数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仿宋_GB2312" w:hAnsi="华文仿宋" w:eastAsia="仿宋_GB2312" w:cs="仿宋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不符合</w:t>
      </w:r>
      <w:r>
        <w:rPr>
          <w:rFonts w:hint="eastAsia" w:ascii="仿宋_GB2312" w:hAnsi="方正仿宋简体" w:eastAsia="仿宋_GB2312" w:cs="方正仿宋简体"/>
          <w:color w:val="000000" w:themeColor="text1"/>
          <w:szCs w:val="32"/>
          <w14:textFill>
            <w14:solidFill>
              <w14:schemeClr w14:val="tx1"/>
            </w14:solidFill>
          </w14:textFill>
        </w:rPr>
        <w:t>的原因是生产环节所致。收到整改报告后，我局对该店进行复查，复查结果符合要求。</w:t>
      </w:r>
    </w:p>
    <w:p>
      <w:pPr>
        <w:spacing w:line="560" w:lineRule="exact"/>
        <w:ind w:firstLine="640"/>
        <w:rPr>
          <w:rFonts w:ascii="仿宋_GB2312" w:hAnsi="方正仿宋简体" w:eastAsia="仿宋_GB2312" w:cs="方正仿宋简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ascii="仿宋_GB2312" w:hAnsi="方正仿宋简体" w:eastAsia="仿宋_GB2312" w:cs="方正仿宋简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/>
        <w:rPr>
          <w:rFonts w:ascii="仿宋_GB2312" w:hAnsi="方正仿宋简体" w:eastAsia="仿宋_GB2312" w:cs="方正仿宋简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方正仿宋简体" w:eastAsia="仿宋_GB2312" w:cs="方正仿宋简体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                         长安区市场监督管理局</w:t>
      </w:r>
    </w:p>
    <w:p>
      <w:pPr>
        <w:spacing w:line="560" w:lineRule="exact"/>
        <w:ind w:firstLine="640"/>
        <w:rPr>
          <w:rFonts w:ascii="仿宋_GB2312" w:hAnsi="方正仿宋简体" w:eastAsia="仿宋_GB2312" w:cs="方正仿宋简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方正仿宋简体" w:eastAsia="仿宋_GB2312" w:cs="方正仿宋简体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                          2022年10月19日</w:t>
      </w:r>
    </w:p>
    <w:p>
      <w:pPr>
        <w:spacing w:line="560" w:lineRule="exact"/>
        <w:ind w:firstLine="640"/>
        <w:rPr>
          <w:rFonts w:ascii="仿宋_GB2312" w:hAnsi="方正仿宋简体" w:eastAsia="仿宋_GB2312" w:cs="方正仿宋简体"/>
          <w:szCs w:val="32"/>
        </w:rPr>
        <w:sectPr>
          <w:pgSz w:w="11906" w:h="16838"/>
          <w:pgMar w:top="1440" w:right="1418" w:bottom="1440" w:left="1588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方正仿宋简体" w:eastAsia="仿宋_GB2312" w:cs="方正仿宋简体"/>
          <w:szCs w:val="32"/>
        </w:rPr>
        <w:t xml:space="preserve">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jMzQ3MjY3Nzk1ZjcwZDY4ODFhOGRiMjcxM2U0ZGIifQ=="/>
  </w:docVars>
  <w:rsids>
    <w:rsidRoot w:val="00987F7C"/>
    <w:rsid w:val="005E25F0"/>
    <w:rsid w:val="00987F7C"/>
    <w:rsid w:val="00AA778D"/>
    <w:rsid w:val="0CDA1A87"/>
    <w:rsid w:val="11BE09E4"/>
    <w:rsid w:val="1D8B05A9"/>
    <w:rsid w:val="22AF0896"/>
    <w:rsid w:val="32C3653A"/>
    <w:rsid w:val="394D38FB"/>
    <w:rsid w:val="471548BC"/>
    <w:rsid w:val="480F1C53"/>
    <w:rsid w:val="646C600B"/>
    <w:rsid w:val="65271F32"/>
    <w:rsid w:val="70BD3DF2"/>
    <w:rsid w:val="70E150EF"/>
    <w:rsid w:val="73903399"/>
    <w:rsid w:val="78365F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eastAsia="方正仿宋简体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eastAsia="方正仿宋简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1253</Words>
  <Characters>1346</Characters>
  <Lines>10</Lines>
  <Paragraphs>2</Paragraphs>
  <TotalTime>2</TotalTime>
  <ScaleCrop>false</ScaleCrop>
  <LinksUpToDate>false</LinksUpToDate>
  <CharactersWithSpaces>1437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2022-10-21T08:28:00Z</dcterms:created>
  <dc:creator>admin</dc:creator>
  <cp:lastModifiedBy>Administrator</cp:lastModifiedBy>
  <dcterms:modified xsi:type="dcterms:W3CDTF">2022-10-27T07:12:20Z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DC750D4BEB0F4479A7697F80466411D8</vt:lpwstr>
  </property>
</Properties>
</file>