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lang w:val="en-US" w:eastAsia="zh-CN"/>
        </w:rPr>
      </w:pPr>
      <w:r>
        <w:rPr>
          <w:rFonts w:hint="eastAsia" w:ascii="黑体" w:hAnsi="ˎ̥" w:eastAsia="黑体" w:cs="Arial"/>
          <w:sz w:val="32"/>
          <w:szCs w:val="32"/>
        </w:rPr>
        <w:t>附件4</w:t>
      </w:r>
      <w:r>
        <w:rPr>
          <w:rFonts w:hint="eastAsia" w:ascii="黑体" w:hAnsi="ˎ̥" w:eastAsia="黑体" w:cs="Arial"/>
          <w:sz w:val="32"/>
          <w:szCs w:val="32"/>
          <w:lang w:val="en-US" w:eastAsia="zh-CN"/>
        </w:rPr>
        <w:t>:</w:t>
      </w:r>
      <w:bookmarkStart w:id="0" w:name="_GoBack"/>
      <w:bookmarkEnd w:id="0"/>
    </w:p>
    <w:p>
      <w:pPr>
        <w:spacing w:line="560" w:lineRule="exact"/>
        <w:ind w:firstLine="2700" w:firstLineChars="750"/>
        <w:rPr>
          <w:rFonts w:hint="eastAsia" w:ascii="黑体" w:hAnsi="ˎ̥" w:eastAsia="黑体" w:cs="Arial"/>
          <w:sz w:val="36"/>
          <w:szCs w:val="36"/>
        </w:rPr>
      </w:pPr>
      <w:r>
        <w:rPr>
          <w:rFonts w:hint="eastAsia" w:ascii="黑体" w:hAnsi="ˎ̥" w:eastAsia="黑体" w:cs="Arial"/>
          <w:sz w:val="36"/>
          <w:szCs w:val="36"/>
        </w:rPr>
        <w:t>关于部分检验项目的说明</w:t>
      </w:r>
    </w:p>
    <w:p>
      <w:pPr>
        <w:bidi w:val="0"/>
        <w:rPr>
          <w:rFonts w:hint="eastAsia"/>
          <w:b/>
          <w:bCs/>
          <w:highlight w:val="none"/>
          <w:lang w:val="en-US" w:eastAsia="zh-CN"/>
        </w:rPr>
      </w:pPr>
      <w:r>
        <w:rPr>
          <w:rFonts w:hint="eastAsia"/>
          <w:b/>
          <w:bCs/>
          <w:lang w:val="en-US" w:eastAsia="zh-CN"/>
        </w:rPr>
        <w:t>一</w:t>
      </w:r>
      <w:r>
        <w:rPr>
          <w:rFonts w:hint="eastAsia"/>
          <w:b/>
          <w:bCs/>
          <w:highlight w:val="none"/>
          <w:lang w:val="en-US" w:eastAsia="zh-CN"/>
        </w:rPr>
        <w:t>、吡唑醚菌酯</w:t>
      </w:r>
    </w:p>
    <w:p>
      <w:pPr>
        <w:bidi w:val="0"/>
        <w:rPr>
          <w:rFonts w:hint="eastAsia"/>
          <w:highlight w:val="none"/>
        </w:rPr>
      </w:pPr>
      <w:r>
        <w:rPr>
          <w:rFonts w:hint="eastAsia"/>
          <w:highlight w:val="none"/>
        </w:rPr>
        <w:t>吡唑醚菌酯是甲氧基丙烯酸酯类杀菌剂，人在吡唑醚菌酯中毒后通常会有恶心、呕吐等症状。《食品安全国家标准食品中农药最大残留限量》（GB 2763-20</w:t>
      </w:r>
      <w:r>
        <w:rPr>
          <w:rFonts w:hint="eastAsia"/>
          <w:highlight w:val="none"/>
          <w:lang w:val="en-US" w:eastAsia="zh-CN"/>
        </w:rPr>
        <w:t>21</w:t>
      </w:r>
      <w:r>
        <w:rPr>
          <w:rFonts w:hint="eastAsia"/>
          <w:highlight w:val="none"/>
        </w:rPr>
        <w:t>）中规定，吡唑醚菌酯在芒果中的最大残留限量值为0.05mg/kg。芒果中吡唑醚菌酯超标原因可能是为快速控制病情加大用药量或未遵守采摘间隔期规定，致使上市销售的产品中残留量未降解至标准限量以下。</w:t>
      </w:r>
    </w:p>
    <w:p>
      <w:pPr>
        <w:pStyle w:val="2"/>
        <w:numPr>
          <w:ilvl w:val="0"/>
          <w:numId w:val="1"/>
        </w:numPr>
        <w:rPr>
          <w:rFonts w:hint="eastAsia" w:ascii="Times New Roman" w:hAnsi="Times New Roman" w:eastAsia="仿宋" w:cstheme="minorBidi"/>
          <w:b/>
          <w:bCs/>
          <w:kern w:val="2"/>
          <w:sz w:val="32"/>
          <w:szCs w:val="21"/>
          <w:highlight w:val="none"/>
          <w:lang w:val="en-US" w:eastAsia="zh-CN" w:bidi="ar-SA"/>
        </w:rPr>
      </w:pPr>
      <w:r>
        <w:rPr>
          <w:rFonts w:hint="eastAsia" w:ascii="Times New Roman" w:hAnsi="Times New Roman" w:eastAsia="仿宋" w:cstheme="minorBidi"/>
          <w:b/>
          <w:bCs/>
          <w:kern w:val="2"/>
          <w:sz w:val="32"/>
          <w:szCs w:val="21"/>
          <w:highlight w:val="none"/>
          <w:lang w:val="en-US" w:eastAsia="zh-CN" w:bidi="ar-SA"/>
        </w:rPr>
        <w:t>噻虫胺</w:t>
      </w:r>
    </w:p>
    <w:p>
      <w:pPr>
        <w:bidi w:val="0"/>
        <w:rPr>
          <w:rFonts w:hint="eastAsia"/>
          <w:highlight w:val="none"/>
          <w:lang w:val="en-US" w:eastAsia="zh-CN"/>
        </w:rPr>
      </w:pPr>
      <w:r>
        <w:rPr>
          <w:rFonts w:hint="eastAsia"/>
          <w:highlight w:val="none"/>
          <w:lang w:val="en-US" w:eastAsia="zh-CN"/>
        </w:rPr>
        <w:t>噻虫胺是新烟碱类杀虫剂，是一类高效安全、高选择性的新型杀虫剂，其作用与烟碱乙酰胆碱受体类似，具有触杀、胃毒和内吸活性。《食品安全国家标准食品中农药最大残留限量》（GB 2763—2021）中规定，噻虫胺在</w:t>
      </w:r>
      <w:r>
        <w:rPr>
          <w:rFonts w:hint="eastAsia"/>
          <w:highlight w:val="none"/>
        </w:rPr>
        <w:t>茄果类蔬菜</w:t>
      </w:r>
      <w:r>
        <w:rPr>
          <w:rFonts w:hint="eastAsia"/>
          <w:highlight w:val="none"/>
          <w:lang w:val="en-US" w:eastAsia="zh-CN"/>
        </w:rPr>
        <w:t>中的最大残留限量值为0.05mg/kg，在香蕉中的最大残留限量值为0.02mg/kg。辣椒和香蕉中噻虫胺残留量超标的原因，可能是菜农为控制虫害而违规加大用药量，或者没有按规定的采摘期进行采摘所致。</w:t>
      </w:r>
    </w:p>
    <w:p>
      <w:pPr>
        <w:bidi w:val="0"/>
        <w:rPr>
          <w:rFonts w:hint="eastAsia"/>
          <w:b/>
          <w:bCs/>
          <w:highlight w:val="none"/>
          <w:lang w:val="en-US" w:eastAsia="zh-CN"/>
        </w:rPr>
      </w:pPr>
      <w:r>
        <w:rPr>
          <w:rFonts w:hint="eastAsia"/>
          <w:b/>
          <w:bCs/>
          <w:highlight w:val="none"/>
          <w:lang w:val="en-US" w:eastAsia="zh-CN"/>
        </w:rPr>
        <w:t>三、啶虫脒</w:t>
      </w:r>
    </w:p>
    <w:p>
      <w:pPr>
        <w:bidi w:val="0"/>
        <w:rPr>
          <w:rFonts w:hint="eastAsia"/>
          <w:highlight w:val="none"/>
        </w:rPr>
      </w:pPr>
      <w:r>
        <w:rPr>
          <w:rFonts w:hint="eastAsia"/>
          <w:highlight w:val="none"/>
        </w:rPr>
        <w:t>啶虫脒属氯化烟碱类化合物，是一种新型杀虫剂。干扰昆虫神经系统的刺激传导，引起神经系统通路阻塞，造成神经递质的积累，从而导致昆虫麻痹死亡。《食品安全国家标准 食品中农药最大残留限量》（GB 2763-2021）中规定，啶虫脒在茄果类蔬菜中的最大残留限量为0.2mg/kg。啶虫脒不合格原因可能是在种植过程中超量使用导致。</w:t>
      </w:r>
    </w:p>
    <w:p>
      <w:pPr>
        <w:pStyle w:val="2"/>
        <w:numPr>
          <w:ilvl w:val="0"/>
          <w:numId w:val="0"/>
        </w:numPr>
        <w:ind w:firstLine="643" w:firstLineChars="200"/>
        <w:rPr>
          <w:rFonts w:hint="eastAsia" w:ascii="Times New Roman" w:hAnsi="Times New Roman" w:eastAsia="仿宋" w:cstheme="minorBidi"/>
          <w:b/>
          <w:bCs/>
          <w:kern w:val="2"/>
          <w:sz w:val="32"/>
          <w:szCs w:val="21"/>
          <w:highlight w:val="none"/>
          <w:lang w:val="en-US" w:eastAsia="zh-CN" w:bidi="ar-SA"/>
        </w:rPr>
      </w:pPr>
      <w:r>
        <w:rPr>
          <w:rFonts w:hint="eastAsia" w:cstheme="minorBidi"/>
          <w:b/>
          <w:bCs/>
          <w:kern w:val="2"/>
          <w:sz w:val="32"/>
          <w:szCs w:val="21"/>
          <w:highlight w:val="none"/>
          <w:lang w:val="en-US" w:eastAsia="zh-CN" w:bidi="ar-SA"/>
        </w:rPr>
        <w:t>四、毒死蜱</w:t>
      </w:r>
    </w:p>
    <w:p>
      <w:pPr>
        <w:bidi w:val="0"/>
        <w:rPr>
          <w:rFonts w:hint="default"/>
          <w:highlight w:val="none"/>
          <w:lang w:val="en-US" w:eastAsia="zh-CN"/>
        </w:rPr>
      </w:pPr>
      <w:r>
        <w:rPr>
          <w:rFonts w:hint="eastAsia"/>
          <w:highlight w:val="none"/>
          <w:lang w:val="en-US" w:eastAsia="zh-CN"/>
        </w:rPr>
        <w:t>毒死蜱是一种高效、广谱有机磷杀虫剂，具有触杀、胃毒和熏蒸等作用，对水稻、小麦、棉花、果树、蔬菜、茶树上多种咀嚼式和刺吸式口器害虫均具有较好防效。《食品安全国家标准 食品中农药最大残留限量》（GB 2763-2021）中规定，毒死蜱在甜椒中的最大残留限量为0.02mg/kg。长期食用毒死蜱超标的食品，可能对人体健康有一定影响，甚至可能会引起头昏、头痛、无力、呕吐等症状。</w:t>
      </w:r>
    </w:p>
    <w:p>
      <w:pPr>
        <w:bidi w:val="0"/>
        <w:rPr>
          <w:rFonts w:hint="eastAsia"/>
          <w:b/>
          <w:bCs/>
          <w:highlight w:val="none"/>
          <w:lang w:val="en-US" w:eastAsia="zh-CN"/>
        </w:rPr>
      </w:pPr>
      <w:r>
        <w:rPr>
          <w:rFonts w:hint="eastAsia"/>
          <w:b/>
          <w:bCs/>
          <w:highlight w:val="none"/>
          <w:lang w:val="en-US" w:eastAsia="zh-CN"/>
        </w:rPr>
        <w:t>五、6-苄基腺嘌呤(6-BA)</w:t>
      </w:r>
    </w:p>
    <w:p>
      <w:pPr>
        <w:pStyle w:val="2"/>
        <w:numPr>
          <w:ilvl w:val="0"/>
          <w:numId w:val="0"/>
        </w:numPr>
        <w:ind w:firstLine="640" w:firstLineChars="200"/>
        <w:rPr>
          <w:rFonts w:hint="eastAsia" w:ascii="Times New Roman" w:hAnsi="Times New Roman" w:eastAsia="仿宋" w:cstheme="minorBidi"/>
          <w:b/>
          <w:bCs/>
          <w:kern w:val="2"/>
          <w:sz w:val="32"/>
          <w:szCs w:val="21"/>
          <w:highlight w:val="none"/>
          <w:lang w:val="en-US" w:eastAsia="zh-CN" w:bidi="ar-SA"/>
        </w:rPr>
      </w:pPr>
      <w:r>
        <w:rPr>
          <w:rFonts w:hint="eastAsia"/>
          <w:highlight w:val="none"/>
        </w:rPr>
        <w:t>6-苄基腺嘌呤（6-BA）是一种植物生长调节剂，曾在豆芽生产中被广泛使用。《国家食品药品监督管理总局农业部国家卫生和计划生育委员会关于豆芽生产过程中禁止使用6-苄基腺嘌呤等物质的公告》（2015 年第11 号）中规定，生产者不得在豆芽生产过程中使用 6-苄基腺嘌呤、4-氯苯氧乙酸钠、赤霉素等物质，豆芽经营者不得经营含有6-苄基腺嘌呤、4-氯苯氧乙酸钠、赤霉素等物质的豆芽。豆芽中检出 6-苄基腺嘌呤（6-BA）的原因，可能是生产者为了抑制豆芽生根，提高豆芽产量，从而违规使用相关农药。</w:t>
      </w:r>
    </w:p>
    <w:p>
      <w:pPr>
        <w:pStyle w:val="2"/>
        <w:numPr>
          <w:ilvl w:val="0"/>
          <w:numId w:val="0"/>
        </w:numPr>
        <w:ind w:firstLine="643" w:firstLineChars="200"/>
        <w:rPr>
          <w:rFonts w:hint="eastAsia" w:ascii="Times New Roman" w:hAnsi="Times New Roman" w:eastAsia="仿宋" w:cstheme="minorBidi"/>
          <w:b/>
          <w:bCs/>
          <w:kern w:val="2"/>
          <w:sz w:val="32"/>
          <w:szCs w:val="21"/>
          <w:highlight w:val="none"/>
          <w:lang w:val="en-US" w:eastAsia="zh-CN" w:bidi="ar-SA"/>
        </w:rPr>
      </w:pPr>
      <w:r>
        <w:rPr>
          <w:rFonts w:hint="eastAsia" w:cstheme="minorBidi"/>
          <w:b/>
          <w:bCs/>
          <w:kern w:val="2"/>
          <w:sz w:val="32"/>
          <w:szCs w:val="21"/>
          <w:highlight w:val="none"/>
          <w:lang w:val="en-US" w:eastAsia="zh-CN" w:bidi="ar-SA"/>
        </w:rPr>
        <w:t>六、</w:t>
      </w:r>
      <w:r>
        <w:rPr>
          <w:rFonts w:hint="eastAsia" w:ascii="Times New Roman" w:hAnsi="Times New Roman" w:eastAsia="仿宋" w:cstheme="minorBidi"/>
          <w:b/>
          <w:bCs/>
          <w:kern w:val="2"/>
          <w:sz w:val="32"/>
          <w:szCs w:val="21"/>
          <w:highlight w:val="none"/>
          <w:lang w:val="en-US" w:eastAsia="zh-CN" w:bidi="ar-SA"/>
        </w:rPr>
        <w:t>倍硫磷</w:t>
      </w:r>
    </w:p>
    <w:p>
      <w:pPr>
        <w:bidi w:val="0"/>
        <w:rPr>
          <w:rFonts w:hint="default"/>
          <w:highlight w:val="none"/>
          <w:lang w:val="en-US" w:eastAsia="zh-CN"/>
        </w:rPr>
      </w:pPr>
      <w:r>
        <w:rPr>
          <w:rFonts w:hint="eastAsia"/>
          <w:highlight w:val="none"/>
          <w:lang w:val="en-US" w:eastAsia="zh-CN"/>
        </w:rPr>
        <w:t>倍硫磷是一种高效、广谱有机磷杀虫剂，中等毒性，对多种害虫有效，主要起触杀、胃毒作用，残效期长，对螨类效果不如甲基对硫磷，主要用于防治大豆食心虫，棉花害虫，果树害虫，蔬菜和水稻害虫，用于防治蚊、蝇、臭虫、虱子、蟑螂也有良好效果。《食品安全国家标准食品中农药最大残留限量》（GB 2763-2021）中规定，豇豆中倍硫磷的最大残留限量为 0.05mg/kg。豇豆中倍硫磷超标的原因可能是农药使用不当，个别菜农对农药安全、合理使用以及农药性质缺乏了解，在农药使用过程中片面追求防治效果而违规使用了含倍硫磷的药物。</w:t>
      </w:r>
    </w:p>
    <w:p>
      <w:pPr>
        <w:pStyle w:val="2"/>
        <w:numPr>
          <w:ilvl w:val="0"/>
          <w:numId w:val="0"/>
        </w:numPr>
        <w:ind w:firstLine="643" w:firstLineChars="200"/>
        <w:rPr>
          <w:rFonts w:hint="eastAsia" w:ascii="Times New Roman" w:hAnsi="Times New Roman" w:eastAsia="仿宋" w:cstheme="minorBidi"/>
          <w:b/>
          <w:bCs/>
          <w:kern w:val="2"/>
          <w:sz w:val="32"/>
          <w:szCs w:val="21"/>
          <w:highlight w:val="none"/>
          <w:lang w:val="en-US" w:eastAsia="zh-CN" w:bidi="ar-SA"/>
        </w:rPr>
      </w:pPr>
      <w:r>
        <w:rPr>
          <w:rFonts w:hint="eastAsia" w:cstheme="minorBidi"/>
          <w:b/>
          <w:bCs/>
          <w:kern w:val="2"/>
          <w:sz w:val="32"/>
          <w:szCs w:val="21"/>
          <w:highlight w:val="none"/>
          <w:lang w:val="en-US" w:eastAsia="zh-CN" w:bidi="ar-SA"/>
        </w:rPr>
        <w:t>七、</w:t>
      </w:r>
      <w:r>
        <w:rPr>
          <w:rFonts w:hint="eastAsia" w:ascii="Times New Roman" w:hAnsi="Times New Roman" w:eastAsia="仿宋" w:cstheme="minorBidi"/>
          <w:b/>
          <w:bCs/>
          <w:kern w:val="2"/>
          <w:sz w:val="32"/>
          <w:szCs w:val="21"/>
          <w:highlight w:val="none"/>
          <w:lang w:val="en-US" w:eastAsia="zh-CN" w:bidi="ar-SA"/>
        </w:rPr>
        <w:t>噻虫嗪</w:t>
      </w:r>
    </w:p>
    <w:p>
      <w:pPr>
        <w:bidi w:val="0"/>
        <w:rPr>
          <w:rFonts w:hint="default"/>
          <w:lang w:val="en-US" w:eastAsia="zh-CN"/>
        </w:rPr>
      </w:pPr>
      <w:r>
        <w:rPr>
          <w:rFonts w:hint="eastAsia"/>
          <w:highlight w:val="none"/>
          <w:lang w:val="en-US" w:eastAsia="zh-CN"/>
        </w:rPr>
        <w:t>噻虫嗪是一种全新结构的第二代烟碱类高效低毒杀虫剂，对害虫具有胃毒、触杀及</w:t>
      </w:r>
      <w:r>
        <w:rPr>
          <w:rFonts w:hint="eastAsia"/>
          <w:lang w:val="en-US" w:eastAsia="zh-CN"/>
        </w:rPr>
        <w:t>内吸活性，用于叶面喷雾及土壤灌根处理。食品中少量的农药残留不会引起人体急性中毒，但长期食用噻虫嗪残留超标的食品对人体健康有一定影响。《食品安全国家标准食品中农药最大残留限量》（GB 2763—2021）中规定，噻虫嗪在香蕉中的最大残留限量值为0.02mg/kg。香蕉中噻虫嗪残留量超标的原因，可能是种植户为快速控制虫害，加大用药量或未遵守采摘间隔期规定，致使上市销售的产品中噻虫嗪残留量超标。</w:t>
      </w:r>
    </w:p>
    <w:p>
      <w:pPr>
        <w:pStyle w:val="2"/>
        <w:numPr>
          <w:ilvl w:val="0"/>
          <w:numId w:val="0"/>
        </w:numPr>
        <w:ind w:firstLine="643" w:firstLineChars="200"/>
        <w:rPr>
          <w:rFonts w:hint="eastAsia" w:ascii="Times New Roman" w:hAnsi="Times New Roman" w:eastAsia="仿宋" w:cstheme="minorBidi"/>
          <w:b/>
          <w:bCs/>
          <w:kern w:val="2"/>
          <w:sz w:val="32"/>
          <w:szCs w:val="21"/>
          <w:highlight w:val="none"/>
          <w:lang w:val="en-US" w:eastAsia="zh-CN" w:bidi="ar-SA"/>
        </w:rPr>
      </w:pPr>
      <w:r>
        <w:rPr>
          <w:rFonts w:hint="eastAsia" w:cstheme="minorBidi"/>
          <w:b/>
          <w:bCs/>
          <w:kern w:val="2"/>
          <w:sz w:val="32"/>
          <w:szCs w:val="21"/>
          <w:highlight w:val="none"/>
          <w:lang w:val="en-US" w:eastAsia="zh-CN" w:bidi="ar-SA"/>
        </w:rPr>
        <w:t>八、</w:t>
      </w:r>
      <w:r>
        <w:rPr>
          <w:rFonts w:hint="eastAsia" w:ascii="Times New Roman" w:hAnsi="Times New Roman" w:eastAsia="仿宋" w:cstheme="minorBidi"/>
          <w:b/>
          <w:bCs/>
          <w:kern w:val="2"/>
          <w:sz w:val="32"/>
          <w:szCs w:val="21"/>
          <w:highlight w:val="none"/>
          <w:lang w:val="en-US" w:eastAsia="zh-CN" w:bidi="ar-SA"/>
        </w:rPr>
        <w:t>恩诺沙星</w:t>
      </w:r>
    </w:p>
    <w:p>
      <w:pPr>
        <w:bidi w:val="0"/>
        <w:rPr>
          <w:rFonts w:hint="default"/>
          <w:lang w:val="en-US" w:eastAsia="zh-CN"/>
        </w:rPr>
      </w:pPr>
      <w:r>
        <w:rPr>
          <w:rFonts w:hint="eastAsia"/>
          <w:highlight w:val="none"/>
          <w:lang w:val="en-US" w:eastAsia="zh-CN"/>
        </w:rPr>
        <w:t>恩诺沙星属于喹诺酮类药物，具有广谱抗菌作用，被广泛用于水产细菌性疾病的治疗和预防。《食品国家安全标准食品中兽药最大残留限量》（GB 31650-2019）中规定，恩诺沙星在鱼类中的最大残留量为 100μg/kg。喹诺酮类药物超标的原因可能是养殖户不规范使用兽药，且不严格遵守休药期规定。喹诺酮类药物的过量摄入可能引起头晕、抽搐、精神异常等中枢神经系统疾病，影响儿童软骨发育，产生肝脏损伤，引起关节水肿，腹泻、恶心和呕吐等胃肠道反应。</w:t>
      </w:r>
    </w:p>
    <w:p>
      <w:pPr>
        <w:pStyle w:val="2"/>
        <w:numPr>
          <w:ilvl w:val="0"/>
          <w:numId w:val="0"/>
        </w:numPr>
        <w:ind w:firstLine="643" w:firstLineChars="200"/>
        <w:rPr>
          <w:rFonts w:hint="eastAsia" w:ascii="Times New Roman" w:hAnsi="Times New Roman" w:eastAsia="仿宋" w:cstheme="minorBidi"/>
          <w:b/>
          <w:bCs/>
          <w:kern w:val="2"/>
          <w:sz w:val="32"/>
          <w:szCs w:val="21"/>
          <w:highlight w:val="none"/>
          <w:lang w:val="en-US" w:eastAsia="zh-CN" w:bidi="ar-SA"/>
        </w:rPr>
      </w:pPr>
      <w:r>
        <w:rPr>
          <w:rFonts w:hint="eastAsia" w:cstheme="minorBidi"/>
          <w:b/>
          <w:bCs/>
          <w:kern w:val="2"/>
          <w:sz w:val="32"/>
          <w:szCs w:val="21"/>
          <w:highlight w:val="none"/>
          <w:lang w:val="en-US" w:eastAsia="zh-CN" w:bidi="ar-SA"/>
        </w:rPr>
        <w:t>九、</w:t>
      </w:r>
      <w:r>
        <w:rPr>
          <w:rFonts w:hint="eastAsia" w:ascii="Times New Roman" w:hAnsi="Times New Roman" w:eastAsia="仿宋" w:cstheme="minorBidi"/>
          <w:b/>
          <w:bCs/>
          <w:kern w:val="2"/>
          <w:sz w:val="32"/>
          <w:szCs w:val="21"/>
          <w:highlight w:val="none"/>
          <w:lang w:val="en-US" w:eastAsia="zh-CN" w:bidi="ar-SA"/>
        </w:rPr>
        <w:t>铅(以Pb计)</w:t>
      </w:r>
    </w:p>
    <w:p>
      <w:pPr>
        <w:bidi w:val="0"/>
        <w:rPr>
          <w:rFonts w:hint="default"/>
          <w:lang w:val="en-US" w:eastAsia="zh-CN"/>
        </w:rPr>
      </w:pPr>
      <w:r>
        <w:rPr>
          <w:rFonts w:hint="eastAsia"/>
          <w:highlight w:val="none"/>
          <w:lang w:val="en-US" w:eastAsia="zh-CN"/>
        </w:rPr>
        <w:t>铅是最常见的重金属元素污染物之一，可通过食物链进入人体蓄积且排除缓慢。长期食用铅超标的食物，对神经、造血、消化、肾脏、心血管和内分泌等多个系统造成危害。本次抽检的食用农产品姜，按照GB 2762-2022《食品安全国家标准 食品中污染物限量》中规定，铅的最大限量值为 0.2 mg/kg 食用农产品姜中铅超标的原因，可能与生姜生长过程中富集环境中的铅元素有关。</w:t>
      </w:r>
    </w:p>
    <w:p>
      <w:pPr>
        <w:pStyle w:val="3"/>
        <w:numPr>
          <w:ilvl w:val="0"/>
          <w:numId w:val="0"/>
        </w:numPr>
        <w:ind w:leftChars="200"/>
        <w:rPr>
          <w:rFonts w:hint="default"/>
          <w:lang w:val="en-US" w:eastAsia="zh-CN"/>
        </w:rPr>
      </w:pPr>
    </w:p>
    <w:sectPr>
      <w:footerReference r:id="rId5" w:type="default"/>
      <w:footerReference r:id="rId6" w:type="even"/>
      <w:pgSz w:w="11906" w:h="16838"/>
      <w:pgMar w:top="1701" w:right="1474" w:bottom="1440" w:left="1588"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8435" cy="20447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8435" cy="204470"/>
                      </a:xfrm>
                      <a:prstGeom prst="rect">
                        <a:avLst/>
                      </a:prstGeom>
                      <a:noFill/>
                      <a:ln w="9525">
                        <a:noFill/>
                      </a:ln>
                      <a:effectLst/>
                    </wps:spPr>
                    <wps:txbx>
                      <w:txbxContent>
                        <w:p>
                          <w:pPr>
                            <w:pStyle w:val="6"/>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6.1pt;width:14.05pt;mso-position-horizontal:center;mso-position-horizontal-relative:margin;mso-wrap-style:none;z-index:251659264;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boh9EAAAADAQAADwAAAAAAAAAB&#10;ACAAAAAiAAAAZHJzL2Rvd25yZXYueG1sUEsBAhQAFAAAAAgAh07iQF1Db8/eAQAArgMAAA4AAAAA&#10;AAAAAQAgAAAAIAEAAGRycy9lMm9Eb2MueG1sUEsFBgAAAAAGAAYAWQEAAHAFAAAAAA==&#10;">
              <v:fill on="f" focussize="0,0"/>
              <v:stroke on="f"/>
              <v:imagedata o:title=""/>
              <o:lock v:ext="edit" aspectratio="f"/>
              <v:textbox inset="0mm,0mm,0mm,0mm" style="mso-fit-shape-to-text:t;">
                <w:txbxContent>
                  <w:p>
                    <w:pPr>
                      <w:pStyle w:val="6"/>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6"/>
                    </w:pPr>
                    <w:r>
                      <w:fldChar w:fldCharType="begin"/>
                    </w:r>
                    <w:r>
                      <w:instrText xml:space="preserve">PAGE  </w:instrText>
                    </w:r>
                    <w:r>
                      <w:fldChar w:fldCharType="separate"/>
                    </w:r>
                    <w:r>
                      <w:t>44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5F28C6"/>
    <w:multiLevelType w:val="singleLevel"/>
    <w:tmpl w:val="D05F28C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5Y2U0NmFhNWRmZWFhMGZhOTNjNGQ3NTg2NTY2NmQ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2F241BE"/>
    <w:rsid w:val="09FD7970"/>
    <w:rsid w:val="0AD93896"/>
    <w:rsid w:val="0AE272D6"/>
    <w:rsid w:val="0B1F0E85"/>
    <w:rsid w:val="0D244780"/>
    <w:rsid w:val="11CF092C"/>
    <w:rsid w:val="161C6012"/>
    <w:rsid w:val="16EF4AC1"/>
    <w:rsid w:val="1A30795F"/>
    <w:rsid w:val="1D1B3E4A"/>
    <w:rsid w:val="1F293B49"/>
    <w:rsid w:val="217F266B"/>
    <w:rsid w:val="24773FA1"/>
    <w:rsid w:val="249948FB"/>
    <w:rsid w:val="25347E29"/>
    <w:rsid w:val="299B6D70"/>
    <w:rsid w:val="2A0D27B5"/>
    <w:rsid w:val="2A9F4CED"/>
    <w:rsid w:val="2B2B4CEE"/>
    <w:rsid w:val="2B6A604B"/>
    <w:rsid w:val="2FDE72FF"/>
    <w:rsid w:val="301B07AA"/>
    <w:rsid w:val="33AC14AB"/>
    <w:rsid w:val="35AD4CA0"/>
    <w:rsid w:val="3B285626"/>
    <w:rsid w:val="3DA50245"/>
    <w:rsid w:val="3F100C58"/>
    <w:rsid w:val="42502180"/>
    <w:rsid w:val="43D309EF"/>
    <w:rsid w:val="496E39C3"/>
    <w:rsid w:val="4B7E521D"/>
    <w:rsid w:val="4BFF52A3"/>
    <w:rsid w:val="4DB46336"/>
    <w:rsid w:val="4EEA5360"/>
    <w:rsid w:val="50251217"/>
    <w:rsid w:val="52316986"/>
    <w:rsid w:val="53AF1EB0"/>
    <w:rsid w:val="55966F40"/>
    <w:rsid w:val="57AB7F47"/>
    <w:rsid w:val="58255C6A"/>
    <w:rsid w:val="58B729C7"/>
    <w:rsid w:val="6082046E"/>
    <w:rsid w:val="60A045C4"/>
    <w:rsid w:val="60AD611E"/>
    <w:rsid w:val="62567F52"/>
    <w:rsid w:val="62C91163"/>
    <w:rsid w:val="630D3A68"/>
    <w:rsid w:val="67BC540F"/>
    <w:rsid w:val="69382C40"/>
    <w:rsid w:val="6C903A7C"/>
    <w:rsid w:val="6F176A3C"/>
    <w:rsid w:val="70E45E1B"/>
    <w:rsid w:val="73486338"/>
    <w:rsid w:val="77EA69C7"/>
    <w:rsid w:val="78BF32A8"/>
    <w:rsid w:val="78F053E4"/>
    <w:rsid w:val="7D8F6D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Times New Roman" w:hAnsi="Times New Roman" w:eastAsia="仿宋" w:cstheme="minorBidi"/>
      <w:kern w:val="2"/>
      <w:sz w:val="32"/>
      <w:szCs w:val="21"/>
      <w:lang w:val="en-US" w:eastAsia="zh-CN" w:bidi="ar-SA"/>
    </w:rPr>
  </w:style>
  <w:style w:type="paragraph" w:styleId="4">
    <w:name w:val="heading 1"/>
    <w:basedOn w:val="1"/>
    <w:next w:val="1"/>
    <w:qFormat/>
    <w:uiPriority w:val="0"/>
    <w:pPr>
      <w:keepNext/>
      <w:keepLines/>
      <w:spacing w:beforeLines="0" w:beforeAutospacing="0" w:afterLines="0" w:afterAutospacing="0" w:line="360" w:lineRule="auto"/>
      <w:outlineLvl w:val="0"/>
    </w:pPr>
    <w:rPr>
      <w:rFonts w:ascii="Times New Roman" w:hAnsi="Times New Roman"/>
      <w:b/>
      <w:kern w:val="44"/>
      <w:sz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afterLines="0" w:afterAutospacing="0"/>
    </w:pPr>
  </w:style>
  <w:style w:type="paragraph" w:styleId="3">
    <w:name w:val="toc 2"/>
    <w:basedOn w:val="1"/>
    <w:next w:val="1"/>
    <w:autoRedefine/>
    <w:qFormat/>
    <w:uiPriority w:val="0"/>
    <w:pPr>
      <w:ind w:left="420" w:leftChars="200"/>
    </w:pPr>
  </w:style>
  <w:style w:type="paragraph" w:styleId="5">
    <w:name w:val="Normal Indent"/>
    <w:basedOn w:val="1"/>
    <w:autoRedefine/>
    <w:qFormat/>
    <w:uiPriority w:val="0"/>
    <w:pPr>
      <w:ind w:firstLine="420" w:firstLineChars="200"/>
    </w:p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9">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autoRedefine/>
    <w:qFormat/>
    <w:uiPriority w:val="0"/>
    <w:rPr>
      <w:b/>
    </w:rPr>
  </w:style>
  <w:style w:type="character" w:styleId="13">
    <w:name w:val="Hyperlink"/>
    <w:basedOn w:val="11"/>
    <w:unhideWhenUsed/>
    <w:qFormat/>
    <w:uiPriority w:val="99"/>
    <w:rPr>
      <w:color w:val="656565"/>
      <w:u w:val="none"/>
    </w:rPr>
  </w:style>
  <w:style w:type="character" w:customStyle="1" w:styleId="14">
    <w:name w:val="页眉 Char"/>
    <w:basedOn w:val="11"/>
    <w:link w:val="7"/>
    <w:autoRedefine/>
    <w:qFormat/>
    <w:uiPriority w:val="0"/>
    <w:rPr>
      <w:rFonts w:ascii="Times New Roman" w:hAnsi="Times New Roman"/>
      <w:kern w:val="2"/>
      <w:sz w:val="18"/>
      <w:szCs w:val="18"/>
    </w:rPr>
  </w:style>
  <w:style w:type="paragraph" w:styleId="15">
    <w:name w:val="List Paragraph"/>
    <w:basedOn w:val="1"/>
    <w:autoRedefine/>
    <w:unhideWhenUsed/>
    <w:qFormat/>
    <w:uiPriority w:val="99"/>
    <w:pPr>
      <w:ind w:firstLine="420" w:firstLineChars="200"/>
    </w:pPr>
  </w:style>
  <w:style w:type="character" w:customStyle="1" w:styleId="16">
    <w:name w:val="HTML 预设格式 Char"/>
    <w:basedOn w:val="11"/>
    <w:link w:val="8"/>
    <w:autoRedefine/>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193</Words>
  <Characters>208</Characters>
  <Lines>24</Lines>
  <Paragraphs>6</Paragraphs>
  <TotalTime>7</TotalTime>
  <ScaleCrop>false</ScaleCrop>
  <LinksUpToDate>false</LinksUpToDate>
  <CharactersWithSpaces>210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遇见</cp:lastModifiedBy>
  <dcterms:modified xsi:type="dcterms:W3CDTF">2024-02-18T05:43:10Z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D6CEA903C65C46EE8DC31C04E2158BDA_13</vt:lpwstr>
  </property>
</Properties>
</file>